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917A7" w14:textId="3F05DBA1" w:rsidR="006517D0" w:rsidRPr="000E284C" w:rsidRDefault="00EB5B01" w:rsidP="00D935F9">
      <w:pPr>
        <w:pStyle w:val="Header"/>
        <w:tabs>
          <w:tab w:val="center" w:pos="4536"/>
          <w:tab w:val="right" w:pos="10440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EB5B01">
        <w:rPr>
          <w:rFonts w:cs="Arial"/>
          <w:bCs/>
          <w:sz w:val="28"/>
        </w:rPr>
        <w:t>3GPP TSG RAN WG</w:t>
      </w:r>
      <w:r w:rsidR="008F0773">
        <w:rPr>
          <w:rFonts w:cs="Arial"/>
          <w:bCs/>
          <w:sz w:val="28"/>
        </w:rPr>
        <w:t>1</w:t>
      </w:r>
      <w:r w:rsidRPr="00EB5B01">
        <w:rPr>
          <w:rFonts w:cs="Arial"/>
          <w:bCs/>
          <w:sz w:val="28"/>
        </w:rPr>
        <w:t xml:space="preserve"> </w:t>
      </w:r>
      <w:r w:rsidR="00650697">
        <w:rPr>
          <w:lang w:val="en-US" w:eastAsia="zh-TW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19E6ABED" wp14:editId="415E548D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E132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6C75FA">
        <w:rPr>
          <w:rFonts w:cs="Arial"/>
          <w:bCs/>
          <w:sz w:val="28"/>
        </w:rPr>
        <w:t xml:space="preserve">Meeting </w:t>
      </w:r>
      <w:r w:rsidR="006C75FA">
        <w:rPr>
          <w:rFonts w:cs="Arial"/>
          <w:bCs/>
          <w:sz w:val="28"/>
          <w:lang w:val="en-US"/>
        </w:rPr>
        <w:t>#</w:t>
      </w:r>
      <w:r w:rsidR="00F77FE8">
        <w:rPr>
          <w:rFonts w:cs="Arial"/>
          <w:bCs/>
          <w:sz w:val="28"/>
          <w:lang w:val="en-US"/>
        </w:rPr>
        <w:t>94</w:t>
      </w:r>
      <w:r w:rsidR="00F77FE8">
        <w:rPr>
          <w:rFonts w:cs="Arial"/>
          <w:bCs/>
          <w:sz w:val="28"/>
        </w:rPr>
        <w:t xml:space="preserve"> </w:t>
      </w:r>
      <w:r w:rsidR="00F77FE8">
        <w:rPr>
          <w:rFonts w:cs="Arial"/>
          <w:bCs/>
          <w:sz w:val="28"/>
          <w:szCs w:val="24"/>
          <w:lang w:val="en-US" w:eastAsia="zh-TW"/>
        </w:rPr>
        <w:t xml:space="preserve">                                         </w:t>
      </w:r>
      <w:r w:rsidR="00D935F9">
        <w:rPr>
          <w:rFonts w:cs="Arial"/>
          <w:bCs/>
          <w:sz w:val="28"/>
          <w:szCs w:val="24"/>
          <w:lang w:val="en-US" w:eastAsia="zh-TW"/>
        </w:rPr>
        <w:tab/>
      </w:r>
      <w:r w:rsidR="00180817" w:rsidRPr="00180817">
        <w:rPr>
          <w:rFonts w:eastAsia="MS Mincho" w:cs="Arial"/>
          <w:bCs/>
          <w:sz w:val="28"/>
          <w:szCs w:val="24"/>
          <w:lang w:val="en-US"/>
        </w:rPr>
        <w:t>R</w:t>
      </w:r>
      <w:r w:rsidR="003C0127">
        <w:rPr>
          <w:rFonts w:eastAsia="MS Mincho" w:cs="Arial"/>
          <w:bCs/>
          <w:sz w:val="28"/>
          <w:szCs w:val="24"/>
          <w:lang w:val="en-US"/>
        </w:rPr>
        <w:t>1</w:t>
      </w:r>
      <w:r w:rsidR="00180817" w:rsidRPr="00180817">
        <w:rPr>
          <w:rFonts w:eastAsia="MS Mincho" w:cs="Arial"/>
          <w:bCs/>
          <w:sz w:val="28"/>
          <w:szCs w:val="24"/>
          <w:lang w:val="en-US"/>
        </w:rPr>
        <w:t>-</w:t>
      </w:r>
      <w:r w:rsidR="003C0127">
        <w:rPr>
          <w:rFonts w:eastAsia="MS Mincho" w:cs="Arial"/>
          <w:bCs/>
          <w:sz w:val="28"/>
          <w:szCs w:val="24"/>
          <w:lang w:val="en-US"/>
        </w:rPr>
        <w:t>18082</w:t>
      </w:r>
      <w:r w:rsidR="00B702F7">
        <w:rPr>
          <w:rFonts w:eastAsia="MS Mincho" w:cs="Arial"/>
          <w:bCs/>
          <w:sz w:val="28"/>
          <w:szCs w:val="24"/>
          <w:lang w:val="en-US"/>
        </w:rPr>
        <w:t>66</w:t>
      </w:r>
    </w:p>
    <w:p w14:paraId="5BAD2AB9" w14:textId="77777777" w:rsidR="006517D0" w:rsidRPr="009A4147" w:rsidRDefault="009F04C2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Gothenburg</w:t>
      </w:r>
      <w:r w:rsidR="00297FB4" w:rsidRPr="00297FB4">
        <w:rPr>
          <w:rFonts w:cs="Arial"/>
          <w:bCs/>
          <w:sz w:val="28"/>
        </w:rPr>
        <w:t xml:space="preserve">, </w:t>
      </w:r>
      <w:r>
        <w:rPr>
          <w:rFonts w:cs="Arial"/>
          <w:bCs/>
          <w:sz w:val="28"/>
        </w:rPr>
        <w:t>Sweden</w:t>
      </w:r>
      <w:r w:rsidR="00297FB4" w:rsidRPr="00297FB4">
        <w:rPr>
          <w:rFonts w:cs="Arial"/>
          <w:bCs/>
          <w:sz w:val="28"/>
        </w:rPr>
        <w:t xml:space="preserve"> </w:t>
      </w:r>
      <w:r w:rsidR="009710FF">
        <w:rPr>
          <w:rFonts w:cs="Arial"/>
          <w:bCs/>
          <w:sz w:val="28"/>
        </w:rPr>
        <w:t>2</w:t>
      </w:r>
      <w:r>
        <w:rPr>
          <w:rFonts w:cs="Arial"/>
          <w:bCs/>
          <w:sz w:val="28"/>
        </w:rPr>
        <w:t>0th</w:t>
      </w:r>
      <w:r w:rsidR="00297FB4" w:rsidRPr="00297FB4">
        <w:rPr>
          <w:rFonts w:cs="Arial" w:hint="eastAsia"/>
          <w:bCs/>
          <w:sz w:val="28"/>
        </w:rPr>
        <w:t xml:space="preserve"> </w:t>
      </w:r>
      <w:r w:rsidR="00297FB4" w:rsidRPr="00297FB4">
        <w:rPr>
          <w:rFonts w:cs="Arial"/>
          <w:bCs/>
          <w:sz w:val="28"/>
        </w:rPr>
        <w:t xml:space="preserve">- </w:t>
      </w:r>
      <w:r w:rsidR="006C75FA">
        <w:rPr>
          <w:rFonts w:cs="Arial"/>
          <w:bCs/>
          <w:sz w:val="28"/>
        </w:rPr>
        <w:t>2</w:t>
      </w:r>
      <w:r>
        <w:rPr>
          <w:rFonts w:cs="Arial"/>
          <w:bCs/>
          <w:sz w:val="28"/>
        </w:rPr>
        <w:t>4</w:t>
      </w:r>
      <w:r w:rsidR="00297FB4" w:rsidRPr="00297FB4">
        <w:rPr>
          <w:rFonts w:cs="Arial"/>
          <w:bCs/>
          <w:sz w:val="28"/>
        </w:rPr>
        <w:t xml:space="preserve">th </w:t>
      </w:r>
      <w:r w:rsidR="006C75FA">
        <w:rPr>
          <w:rFonts w:cs="Arial"/>
          <w:bCs/>
          <w:sz w:val="28"/>
        </w:rPr>
        <w:t>August</w:t>
      </w:r>
      <w:r w:rsidR="00297FB4" w:rsidRPr="00297FB4">
        <w:rPr>
          <w:rFonts w:cs="Arial"/>
          <w:bCs/>
          <w:sz w:val="28"/>
        </w:rPr>
        <w:t xml:space="preserve"> 201</w:t>
      </w:r>
      <w:r>
        <w:rPr>
          <w:rFonts w:cs="Arial"/>
          <w:bCs/>
          <w:sz w:val="28"/>
        </w:rPr>
        <w:t>8</w:t>
      </w:r>
      <w:r w:rsidR="00297FB4">
        <w:rPr>
          <w:rFonts w:cs="Arial"/>
          <w:bCs/>
          <w:sz w:val="28"/>
        </w:rPr>
        <w:t xml:space="preserve"> </w:t>
      </w:r>
    </w:p>
    <w:p w14:paraId="1D4CD8DF" w14:textId="25656A4A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B702F7">
        <w:rPr>
          <w:rFonts w:cs="Arial"/>
          <w:bCs/>
          <w:sz w:val="28"/>
          <w:szCs w:val="24"/>
          <w:lang w:val="en-US" w:eastAsia="zh-TW"/>
        </w:rPr>
        <w:t>7.1.4</w:t>
      </w:r>
    </w:p>
    <w:p w14:paraId="28289870" w14:textId="7777777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386CC7B8" w14:textId="28EE4E78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B702F7" w:rsidRPr="00B702F7">
        <w:rPr>
          <w:rFonts w:cs="Arial"/>
          <w:bCs/>
          <w:sz w:val="28"/>
          <w:szCs w:val="24"/>
          <w:lang w:val="en-US" w:eastAsia="zh-TW"/>
        </w:rPr>
        <w:t>MPR and A-MPR considerations for EN-DC UE</w:t>
      </w:r>
    </w:p>
    <w:p w14:paraId="4036BF2D" w14:textId="5945188D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B702F7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0F50F951" w14:textId="77777777" w:rsidR="002D44AF" w:rsidRDefault="002D44AF" w:rsidP="002D44AF">
      <w:pPr>
        <w:pStyle w:val="Heading1"/>
        <w:rPr>
          <w:lang w:eastAsia="zh-TW"/>
        </w:rPr>
      </w:pPr>
      <w:r>
        <w:rPr>
          <w:rFonts w:hint="eastAsia"/>
          <w:lang w:eastAsia="zh-TW"/>
        </w:rPr>
        <w:t>Introduction</w:t>
      </w:r>
    </w:p>
    <w:p w14:paraId="5D1BCE78" w14:textId="44989AD5" w:rsidR="00DC3E7B" w:rsidRDefault="00B702F7" w:rsidP="00180AC2">
      <w:pPr>
        <w:rPr>
          <w:lang w:eastAsia="zh-TW"/>
        </w:rPr>
      </w:pPr>
      <w:r>
        <w:rPr>
          <w:lang w:eastAsia="zh-TW"/>
        </w:rPr>
        <w:t xml:space="preserve">RAN1 </w:t>
      </w:r>
      <w:r w:rsidR="005813B3">
        <w:rPr>
          <w:lang w:eastAsia="zh-TW"/>
        </w:rPr>
        <w:t xml:space="preserve">recently </w:t>
      </w:r>
      <w:r>
        <w:rPr>
          <w:lang w:eastAsia="zh-TW"/>
        </w:rPr>
        <w:t xml:space="preserve">conducted email discussion </w:t>
      </w:r>
      <w:r w:rsidR="00D928CD">
        <w:rPr>
          <w:lang w:eastAsia="zh-TW"/>
        </w:rPr>
        <w:t xml:space="preserve">[1] </w:t>
      </w:r>
      <w:r>
        <w:rPr>
          <w:lang w:eastAsia="zh-TW"/>
        </w:rPr>
        <w:t>in response to RAN4 LS [</w:t>
      </w:r>
      <w:r w:rsidR="00D928CD">
        <w:rPr>
          <w:lang w:eastAsia="zh-TW"/>
        </w:rPr>
        <w:t>2</w:t>
      </w:r>
      <w:r>
        <w:rPr>
          <w:lang w:eastAsia="zh-TW"/>
        </w:rPr>
        <w:t xml:space="preserve">]. According to RAN4 MPR and A-MPR design, an EN-DC </w:t>
      </w:r>
      <w:r w:rsidR="00C12198">
        <w:rPr>
          <w:lang w:eastAsia="zh-TW"/>
        </w:rPr>
        <w:t xml:space="preserve">type-1 </w:t>
      </w:r>
      <w:r>
        <w:rPr>
          <w:lang w:eastAsia="zh-TW"/>
        </w:rPr>
        <w:t>UE needs to back off power on LTE side according to NR allocation information. Most of RAN1 companies think the requirement will mandate NR scheduling timing on a LTE modem, which is</w:t>
      </w:r>
      <w:r w:rsidR="00C12198">
        <w:rPr>
          <w:lang w:eastAsia="zh-TW"/>
        </w:rPr>
        <w:t>, however,</w:t>
      </w:r>
      <w:r>
        <w:rPr>
          <w:lang w:eastAsia="zh-TW"/>
        </w:rPr>
        <w:t xml:space="preserve"> avoided in RAN1 power control design.</w:t>
      </w:r>
    </w:p>
    <w:p w14:paraId="2DABB925" w14:textId="64EA8B51" w:rsidR="00B702F7" w:rsidRDefault="00B702F7" w:rsidP="00180AC2">
      <w:pPr>
        <w:rPr>
          <w:lang w:eastAsia="zh-TW"/>
        </w:rPr>
      </w:pPr>
      <w:r>
        <w:rPr>
          <w:lang w:eastAsia="zh-TW"/>
        </w:rPr>
        <w:t>In this contribution, we share a UE vendor’s view: The dynamic power sharing requirement for an EN-DC</w:t>
      </w:r>
      <w:r w:rsidR="00C12198">
        <w:rPr>
          <w:lang w:eastAsia="zh-TW"/>
        </w:rPr>
        <w:t xml:space="preserve"> type-1</w:t>
      </w:r>
      <w:r>
        <w:rPr>
          <w:lang w:eastAsia="zh-TW"/>
        </w:rPr>
        <w:t xml:space="preserve"> UE </w:t>
      </w:r>
      <w:r w:rsidR="00C12198">
        <w:rPr>
          <w:lang w:eastAsia="zh-TW"/>
        </w:rPr>
        <w:t>already</w:t>
      </w:r>
      <w:r>
        <w:rPr>
          <w:lang w:eastAsia="zh-TW"/>
        </w:rPr>
        <w:t xml:space="preserve"> implies a different modem architecture from the </w:t>
      </w:r>
      <w:r w:rsidR="00C12198">
        <w:rPr>
          <w:lang w:eastAsia="zh-TW"/>
        </w:rPr>
        <w:t>legacy</w:t>
      </w:r>
      <w:r w:rsidR="00B4662F">
        <w:rPr>
          <w:lang w:eastAsia="zh-TW"/>
        </w:rPr>
        <w:t xml:space="preserve"> LTE</w:t>
      </w:r>
      <w:r w:rsidR="00C12198">
        <w:rPr>
          <w:lang w:eastAsia="zh-TW"/>
        </w:rPr>
        <w:t xml:space="preserve">, subject to </w:t>
      </w:r>
      <w:r>
        <w:rPr>
          <w:lang w:eastAsia="zh-TW"/>
        </w:rPr>
        <w:t xml:space="preserve">a compact modem area. </w:t>
      </w:r>
      <w:r w:rsidR="00C12198">
        <w:rPr>
          <w:lang w:eastAsia="zh-TW"/>
        </w:rPr>
        <w:t>While applying a much larger</w:t>
      </w:r>
      <w:r>
        <w:rPr>
          <w:lang w:eastAsia="zh-TW"/>
        </w:rPr>
        <w:t xml:space="preserve"> A-MPR on NR side or dropping NR is one solution to comply with the spectral emission requirement, an EN-DC</w:t>
      </w:r>
      <w:r w:rsidR="00C12198">
        <w:rPr>
          <w:lang w:eastAsia="zh-TW"/>
        </w:rPr>
        <w:t xml:space="preserve"> type-1</w:t>
      </w:r>
      <w:r>
        <w:rPr>
          <w:lang w:eastAsia="zh-TW"/>
        </w:rPr>
        <w:t xml:space="preserve"> UE is likely to achieve better performance, including </w:t>
      </w:r>
    </w:p>
    <w:p w14:paraId="6C4DD2D0" w14:textId="21B6A436" w:rsidR="00B702F7" w:rsidRDefault="00B702F7" w:rsidP="005679B0">
      <w:pPr>
        <w:pStyle w:val="ListParagraph"/>
        <w:numPr>
          <w:ilvl w:val="0"/>
          <w:numId w:val="48"/>
        </w:numPr>
        <w:rPr>
          <w:lang w:eastAsia="zh-TW"/>
        </w:rPr>
      </w:pPr>
      <w:r>
        <w:rPr>
          <w:lang w:eastAsia="zh-TW"/>
        </w:rPr>
        <w:t xml:space="preserve">Applying the minimal overall power back-off based on </w:t>
      </w:r>
      <w:r w:rsidR="00C12198">
        <w:rPr>
          <w:lang w:eastAsia="zh-TW"/>
        </w:rPr>
        <w:t>joint NR and LTE allocation information</w:t>
      </w:r>
      <w:r>
        <w:rPr>
          <w:lang w:eastAsia="zh-TW"/>
        </w:rPr>
        <w:t xml:space="preserve"> when NR grant comes X time prior to LTE UL, </w:t>
      </w:r>
      <w:r w:rsidR="002A4EB1">
        <w:rPr>
          <w:lang w:eastAsia="zh-TW"/>
        </w:rPr>
        <w:t xml:space="preserve">where </w:t>
      </w:r>
      <w:r>
        <w:rPr>
          <w:lang w:eastAsia="zh-TW"/>
        </w:rPr>
        <w:t xml:space="preserve">X </w:t>
      </w:r>
      <w:r w:rsidR="00C12198">
        <w:rPr>
          <w:lang w:eastAsia="zh-TW"/>
        </w:rPr>
        <w:t>&lt;</w:t>
      </w:r>
      <w:r>
        <w:rPr>
          <w:lang w:eastAsia="zh-TW"/>
        </w:rPr>
        <w:t xml:space="preserve"> 4 ms</w:t>
      </w:r>
    </w:p>
    <w:p w14:paraId="66C4A621" w14:textId="7148198B" w:rsidR="00B702F7" w:rsidRDefault="00CF3301" w:rsidP="005679B0">
      <w:pPr>
        <w:pStyle w:val="ListParagraph"/>
        <w:numPr>
          <w:ilvl w:val="0"/>
          <w:numId w:val="48"/>
        </w:numPr>
        <w:rPr>
          <w:lang w:eastAsia="zh-TW"/>
        </w:rPr>
      </w:pPr>
      <w:r>
        <w:rPr>
          <w:lang w:eastAsia="zh-TW"/>
        </w:rPr>
        <w:t>Less</w:t>
      </w:r>
      <w:r w:rsidR="00C12198">
        <w:rPr>
          <w:lang w:eastAsia="zh-TW"/>
        </w:rPr>
        <w:t xml:space="preserve"> A-MPR on a selected</w:t>
      </w:r>
      <w:r>
        <w:rPr>
          <w:lang w:eastAsia="zh-TW"/>
        </w:rPr>
        <w:t>/prioritized</w:t>
      </w:r>
      <w:r w:rsidR="00C12198">
        <w:rPr>
          <w:lang w:eastAsia="zh-TW"/>
        </w:rPr>
        <w:t xml:space="preserve"> RAT </w:t>
      </w:r>
      <w:r w:rsidR="009B4137">
        <w:rPr>
          <w:lang w:eastAsia="zh-TW"/>
        </w:rPr>
        <w:t>for better</w:t>
      </w:r>
      <w:r>
        <w:rPr>
          <w:lang w:eastAsia="zh-TW"/>
        </w:rPr>
        <w:t xml:space="preserve"> UL throughput </w:t>
      </w:r>
      <w:r w:rsidR="009B4137">
        <w:rPr>
          <w:lang w:eastAsia="zh-TW"/>
        </w:rPr>
        <w:t xml:space="preserve">even </w:t>
      </w:r>
      <w:r w:rsidR="00841445">
        <w:rPr>
          <w:lang w:eastAsia="zh-TW"/>
        </w:rPr>
        <w:t>when NR grant comes later than LTE UL start</w:t>
      </w:r>
      <w:r w:rsidR="00B702F7">
        <w:rPr>
          <w:lang w:eastAsia="zh-TW"/>
        </w:rPr>
        <w:t>.</w:t>
      </w:r>
    </w:p>
    <w:p w14:paraId="62372D40" w14:textId="05096F21" w:rsidR="00B702F7" w:rsidRDefault="00B702F7" w:rsidP="00B702F7">
      <w:pPr>
        <w:rPr>
          <w:lang w:eastAsia="zh-TW"/>
        </w:rPr>
      </w:pPr>
      <w:r>
        <w:rPr>
          <w:lang w:eastAsia="zh-TW"/>
        </w:rPr>
        <w:t xml:space="preserve">To resolve the design conflict between RAN1 and RAN4, </w:t>
      </w:r>
      <w:r w:rsidR="00841445">
        <w:rPr>
          <w:lang w:eastAsia="zh-TW"/>
        </w:rPr>
        <w:t>any</w:t>
      </w:r>
      <w:r>
        <w:rPr>
          <w:lang w:eastAsia="zh-TW"/>
        </w:rPr>
        <w:t xml:space="preserve"> specification change should leave the flexibility for an EN-DC UE to realize </w:t>
      </w:r>
      <w:r w:rsidR="00841445">
        <w:rPr>
          <w:lang w:eastAsia="zh-TW"/>
        </w:rPr>
        <w:t>smaller</w:t>
      </w:r>
      <w:r>
        <w:rPr>
          <w:lang w:eastAsia="zh-TW"/>
        </w:rPr>
        <w:t xml:space="preserve"> power back-off and </w:t>
      </w:r>
      <w:r w:rsidR="00841445">
        <w:rPr>
          <w:lang w:eastAsia="zh-TW"/>
        </w:rPr>
        <w:t>better</w:t>
      </w:r>
      <w:r>
        <w:rPr>
          <w:lang w:eastAsia="zh-TW"/>
        </w:rPr>
        <w:t xml:space="preserve"> UL throughput.</w:t>
      </w:r>
    </w:p>
    <w:p w14:paraId="0ECCA8AA" w14:textId="77777777" w:rsidR="00DC3E7B" w:rsidRPr="00180AC2" w:rsidRDefault="00DC3E7B" w:rsidP="00180AC2">
      <w:pPr>
        <w:rPr>
          <w:lang w:eastAsia="zh-TW"/>
        </w:rPr>
      </w:pPr>
    </w:p>
    <w:p w14:paraId="5C6F37C8" w14:textId="77777777" w:rsidR="00D73FD9" w:rsidRPr="00180817" w:rsidRDefault="009710FF" w:rsidP="00D73FD9">
      <w:pPr>
        <w:pStyle w:val="Heading1"/>
        <w:rPr>
          <w:color w:val="000000"/>
        </w:rPr>
      </w:pPr>
      <w:r w:rsidRPr="00180817">
        <w:rPr>
          <w:color w:val="000000"/>
        </w:rPr>
        <w:t>Discussion</w:t>
      </w:r>
    </w:p>
    <w:p w14:paraId="31BBCC13" w14:textId="4866DE9B" w:rsidR="00036CAD" w:rsidRDefault="00B702F7" w:rsidP="00F97D2C">
      <w:pPr>
        <w:pStyle w:val="Heading2"/>
      </w:pPr>
      <w:r>
        <w:t>Modem architecture for a dynamic power sharing EN-DC UE</w:t>
      </w:r>
    </w:p>
    <w:p w14:paraId="1C8FA380" w14:textId="66748CDA" w:rsidR="00B702F7" w:rsidRDefault="00B702F7" w:rsidP="00B54550">
      <w:r>
        <w:t>For an EN-DC UE capable of dynamic power sharing, the modem architecture should be capable of checking the sum power</w:t>
      </w:r>
      <w:r w:rsidR="002A4EB1">
        <w:t xml:space="preserve"> of NR and LTE</w:t>
      </w:r>
      <w:r>
        <w:t xml:space="preserve"> </w:t>
      </w:r>
      <w:r w:rsidR="002A4EB1">
        <w:t>before</w:t>
      </w:r>
      <w:r>
        <w:t xml:space="preserve"> adjusting NR transmission power if the sum power exceeds the maximal total EN-DC power. For a compact modem design, a shared front-end and RF </w:t>
      </w:r>
      <w:r w:rsidR="00841445">
        <w:t>system, as shown in Fig. 1, will</w:t>
      </w:r>
      <w:r>
        <w:t xml:space="preserve"> </w:t>
      </w:r>
      <w:r w:rsidR="00841445">
        <w:t>be reasonably</w:t>
      </w:r>
      <w:r>
        <w:t xml:space="preserve"> considered. It is noticed that the architecture doesn’t require tight communications between LTE and NR </w:t>
      </w:r>
      <w:r w:rsidR="00841445">
        <w:t xml:space="preserve">basebands, </w:t>
      </w:r>
      <w:r w:rsidR="0052417C">
        <w:t xml:space="preserve">thus </w:t>
      </w:r>
      <w:r>
        <w:t>follow</w:t>
      </w:r>
      <w:r w:rsidR="00841445">
        <w:t>ing</w:t>
      </w:r>
      <w:r>
        <w:t xml:space="preserve"> </w:t>
      </w:r>
      <w:r w:rsidR="00841445">
        <w:t>type-1 UE</w:t>
      </w:r>
      <w:r>
        <w:t xml:space="preserve"> assumption that only NR knows LTE grant content.</w:t>
      </w:r>
    </w:p>
    <w:p w14:paraId="6D49669A" w14:textId="39E50493" w:rsidR="00B702F7" w:rsidRDefault="00B702F7" w:rsidP="00B702F7">
      <w:pPr>
        <w:jc w:val="center"/>
      </w:pPr>
      <w:r>
        <w:rPr>
          <w:noProof/>
          <w:lang w:val="en-US" w:eastAsia="zh-TW"/>
        </w:rPr>
        <w:drawing>
          <wp:inline distT="0" distB="0" distL="0" distR="0" wp14:anchorId="2009DAE6" wp14:editId="0913064A">
            <wp:extent cx="2787015" cy="167767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3FBF3" w14:textId="646BE52D" w:rsidR="00B702F7" w:rsidRDefault="00B702F7" w:rsidP="00B702F7">
      <w:pPr>
        <w:jc w:val="center"/>
      </w:pPr>
      <w:r>
        <w:t>Fig. 1: An EN-DC modem architecture for dynamic power sharing</w:t>
      </w:r>
    </w:p>
    <w:p w14:paraId="0C90B545" w14:textId="69B95A7C" w:rsidR="00B54550" w:rsidRDefault="00B702F7" w:rsidP="00B54550">
      <w:r>
        <w:t xml:space="preserve">Depending on the </w:t>
      </w:r>
      <w:r w:rsidR="00841445">
        <w:t xml:space="preserve">allowed </w:t>
      </w:r>
      <w:r>
        <w:t xml:space="preserve">degree of </w:t>
      </w:r>
      <w:r w:rsidR="00841445">
        <w:t>changing LTE UL power setting</w:t>
      </w:r>
      <w:r>
        <w:t xml:space="preserve">, the architecture can realize </w:t>
      </w:r>
      <w:r w:rsidR="00841445">
        <w:t>the following power adjustments</w:t>
      </w:r>
      <w:r>
        <w:t>:</w:t>
      </w:r>
    </w:p>
    <w:p w14:paraId="36BFEA52" w14:textId="06D13066" w:rsidR="00B702F7" w:rsidRDefault="00B702F7" w:rsidP="00B702F7">
      <w:pPr>
        <w:pStyle w:val="ListParagraph"/>
        <w:numPr>
          <w:ilvl w:val="0"/>
          <w:numId w:val="49"/>
        </w:numPr>
      </w:pPr>
      <w:r>
        <w:t xml:space="preserve">NR baseband can change </w:t>
      </w:r>
      <w:r w:rsidR="00841445">
        <w:t xml:space="preserve">full </w:t>
      </w:r>
      <w:r>
        <w:t>LTE UL power setting:</w:t>
      </w:r>
    </w:p>
    <w:p w14:paraId="69F5A723" w14:textId="389B9579" w:rsidR="00B702F7" w:rsidRDefault="00B702F7" w:rsidP="00B702F7">
      <w:pPr>
        <w:pStyle w:val="ListParagraph"/>
      </w:pPr>
      <w:r>
        <w:t xml:space="preserve">Under this capability, NR baseband can compute LTE A-MPR according to NR allocation information and update LTE UL power setting. Since there is extra computation and configuration, NR may </w:t>
      </w:r>
      <w:r w:rsidR="00841445">
        <w:t xml:space="preserve">only </w:t>
      </w:r>
      <w:r>
        <w:t>manage to change LTE setting when NR grant is X time prior to LTE UL, where X can be larger than the minimal NR scheduling delay but (much) smaller than LTE scheduling delay, 4 ms.</w:t>
      </w:r>
    </w:p>
    <w:p w14:paraId="0EEEB4D8" w14:textId="6D6AAD8D" w:rsidR="00B702F7" w:rsidRDefault="00B702F7" w:rsidP="00B702F7">
      <w:pPr>
        <w:pStyle w:val="ListParagraph"/>
        <w:numPr>
          <w:ilvl w:val="0"/>
          <w:numId w:val="49"/>
        </w:numPr>
      </w:pPr>
      <w:r>
        <w:lastRenderedPageBreak/>
        <w:t>NR baseband can switch LTE UL power setting:</w:t>
      </w:r>
    </w:p>
    <w:p w14:paraId="1E419F63" w14:textId="45793CC7" w:rsidR="00877C4E" w:rsidRDefault="00B702F7" w:rsidP="00877C4E">
      <w:pPr>
        <w:pStyle w:val="ListParagraph"/>
      </w:pPr>
      <w:r>
        <w:t xml:space="preserve">In this case, LTE baseband can configure two UL power settings, one corresponding to no NR presence and the other corresponding to </w:t>
      </w:r>
      <w:r w:rsidR="00877C4E">
        <w:t>a predefined</w:t>
      </w:r>
      <w:r>
        <w:t xml:space="preserve"> NR allocation. The NR baseband needs </w:t>
      </w:r>
      <w:r w:rsidR="00877C4E">
        <w:t xml:space="preserve">only </w:t>
      </w:r>
      <w:r>
        <w:t xml:space="preserve">to indicate which LTE UL power setting to </w:t>
      </w:r>
      <w:r w:rsidR="00877C4E">
        <w:t xml:space="preserve">apply and the signalling can be as compact as </w:t>
      </w:r>
      <w:r w:rsidR="00841445">
        <w:t>a single bit</w:t>
      </w:r>
      <w:r w:rsidR="00877C4E">
        <w:t xml:space="preserve">. This allows adapting LTE power even when NR grant is only several symbols prior to LTE UL. Note that the predefined NR allocation may be the worst-case NR allocation </w:t>
      </w:r>
      <w:r w:rsidR="00841445">
        <w:t>causing</w:t>
      </w:r>
      <w:r w:rsidR="00877C4E">
        <w:t xml:space="preserve"> a larger LTE A-MPR than necessary, while NR can apply </w:t>
      </w:r>
      <w:r w:rsidR="00CF3301">
        <w:t>less</w:t>
      </w:r>
      <w:r w:rsidR="00877C4E">
        <w:t xml:space="preserve"> A-MPR based on </w:t>
      </w:r>
      <w:r w:rsidR="0052417C">
        <w:t>joint NR and LTE allocation information</w:t>
      </w:r>
      <w:r w:rsidR="00877C4E">
        <w:t xml:space="preserve">. It should be understood as a UE </w:t>
      </w:r>
      <w:bookmarkStart w:id="2" w:name="_GoBack"/>
      <w:r w:rsidR="00877C4E">
        <w:t>flexibility</w:t>
      </w:r>
      <w:bookmarkEnd w:id="2"/>
      <w:r w:rsidR="00877C4E">
        <w:t xml:space="preserve"> to optimize UL throughput when</w:t>
      </w:r>
      <w:r w:rsidR="0052417C">
        <w:t>, for example,</w:t>
      </w:r>
      <w:r w:rsidR="00877C4E">
        <w:t xml:space="preserve"> most UL traffic goes to NR. It is also noticed that UE can apply such A-MPR setting even when NR grant comes later than LTE UL</w:t>
      </w:r>
      <w:r w:rsidR="00841445">
        <w:t xml:space="preserve"> start</w:t>
      </w:r>
      <w:r w:rsidR="00877C4E">
        <w:t xml:space="preserve">. The intention </w:t>
      </w:r>
      <w:r w:rsidR="0052417C">
        <w:t>can be prioritizing</w:t>
      </w:r>
      <w:r w:rsidR="00877C4E">
        <w:t xml:space="preserve"> any potential NR UL </w:t>
      </w:r>
      <w:r w:rsidR="0052417C">
        <w:t>arising</w:t>
      </w:r>
      <w:r w:rsidR="00877C4E">
        <w:t xml:space="preserve"> </w:t>
      </w:r>
      <w:r w:rsidR="0052417C">
        <w:t>after</w:t>
      </w:r>
      <w:r w:rsidR="00877C4E">
        <w:t xml:space="preserve"> LTE</w:t>
      </w:r>
      <w:r w:rsidR="0052417C">
        <w:t xml:space="preserve"> UL start</w:t>
      </w:r>
      <w:r w:rsidR="00877C4E">
        <w:t>.</w:t>
      </w:r>
    </w:p>
    <w:p w14:paraId="142709F2" w14:textId="6DDEEA88" w:rsidR="00877C4E" w:rsidRDefault="00877C4E" w:rsidP="00877C4E">
      <w:pPr>
        <w:pStyle w:val="ListParagraph"/>
        <w:numPr>
          <w:ilvl w:val="0"/>
          <w:numId w:val="49"/>
        </w:numPr>
      </w:pPr>
      <w:r>
        <w:t>NR baseband cannot change LTE UL power setting:</w:t>
      </w:r>
    </w:p>
    <w:p w14:paraId="020DFE3C" w14:textId="07DA9D02" w:rsidR="00877C4E" w:rsidRDefault="00877C4E" w:rsidP="00877C4E">
      <w:pPr>
        <w:pStyle w:val="ListParagraph"/>
      </w:pPr>
      <w:r>
        <w:t xml:space="preserve">In this case, LTE can apply LTE-only A-MPR while NR can apply </w:t>
      </w:r>
      <w:r w:rsidR="00841445">
        <w:t>a much larger</w:t>
      </w:r>
      <w:r>
        <w:t xml:space="preserve"> A-MPR </w:t>
      </w:r>
      <w:r w:rsidR="00841445">
        <w:t>or drop its</w:t>
      </w:r>
      <w:r>
        <w:t xml:space="preserve"> UL. Such A-MPR setting can be utilized when NR grant comes too lat</w:t>
      </w:r>
      <w:r w:rsidR="0052417C">
        <w:t>e to realize operation</w:t>
      </w:r>
      <w:r>
        <w:t xml:space="preserve"> A and LTE UL is to be prioritized (</w:t>
      </w:r>
      <w:r w:rsidR="00841445">
        <w:t>when</w:t>
      </w:r>
      <w:r>
        <w:t>, for example, most UL traffic goes to LTE).</w:t>
      </w:r>
    </w:p>
    <w:p w14:paraId="008377B9" w14:textId="77777777" w:rsidR="00877C4E" w:rsidRDefault="00877C4E" w:rsidP="00877C4E"/>
    <w:p w14:paraId="2686CCAB" w14:textId="2EB5C61D" w:rsidR="00B54550" w:rsidRDefault="00877C4E" w:rsidP="00877C4E">
      <w:pPr>
        <w:pStyle w:val="Heading2"/>
      </w:pPr>
      <w:r>
        <w:t>Suggestion on specification</w:t>
      </w:r>
    </w:p>
    <w:p w14:paraId="1C66833B" w14:textId="28800CBA" w:rsidR="0086720F" w:rsidRDefault="00877C4E" w:rsidP="00B54550">
      <w:r>
        <w:t xml:space="preserve">For a type-1 EN-DC UE capable of dynamic power sharing, it is not </w:t>
      </w:r>
      <w:r w:rsidR="00841445">
        <w:t>the only</w:t>
      </w:r>
      <w:r>
        <w:t xml:space="preserve"> solution that UE must </w:t>
      </w:r>
      <w:r w:rsidR="00841445">
        <w:t>apply a much larger</w:t>
      </w:r>
      <w:r>
        <w:t xml:space="preserve"> A-MPR on NR side or drop NR UL when NR grant is not 4 ms prior to LTE UL. Instead, we show a practical modem architecture that can realize the minimal total A-MPR or apply </w:t>
      </w:r>
      <w:r w:rsidR="00CF3301">
        <w:t>less</w:t>
      </w:r>
      <w:r>
        <w:t xml:space="preserve"> A-MPR on </w:t>
      </w:r>
      <w:r w:rsidR="00841445">
        <w:t>a selected</w:t>
      </w:r>
      <w:r w:rsidR="00CF3301">
        <w:t>/prioritized</w:t>
      </w:r>
      <w:r w:rsidR="00841445">
        <w:t xml:space="preserve"> RAT </w:t>
      </w:r>
      <w:r w:rsidR="0052417C">
        <w:t>in the presence of</w:t>
      </w:r>
      <w:r>
        <w:t xml:space="preserve"> late NR grants. Th</w:t>
      </w:r>
      <w:r w:rsidR="00841445">
        <w:t>e following proposals are there</w:t>
      </w:r>
      <w:r>
        <w:t>fore suggested:</w:t>
      </w:r>
    </w:p>
    <w:p w14:paraId="5FAE2CD8" w14:textId="395367EA" w:rsidR="00877C4E" w:rsidRDefault="00877C4E" w:rsidP="00B54550">
      <w:r w:rsidRPr="00841445">
        <w:rPr>
          <w:b/>
          <w:color w:val="0000FF"/>
        </w:rPr>
        <w:t>Proposal 1</w:t>
      </w:r>
      <w:r>
        <w:t>: NR specification on EN-DC MPR and A-MPR should allow the capable UE that can realize the RAN4 MPR and A-MPR design</w:t>
      </w:r>
      <w:r w:rsidR="00841445">
        <w:t xml:space="preserve"> based on joint NR and LTE allocation information</w:t>
      </w:r>
      <w:r>
        <w:t xml:space="preserve"> even when NR grant is not 4 ms prior to LTE UL.</w:t>
      </w:r>
    </w:p>
    <w:p w14:paraId="4753E384" w14:textId="77777777" w:rsidR="00877C4E" w:rsidRDefault="00877C4E" w:rsidP="00877C4E">
      <w:pPr>
        <w:pStyle w:val="ListParagraph"/>
        <w:numPr>
          <w:ilvl w:val="0"/>
          <w:numId w:val="50"/>
        </w:numPr>
      </w:pPr>
      <w:r>
        <w:t>A capability signalling on the allowed timing delay between NR grant and LTE UL start can be added.</w:t>
      </w:r>
    </w:p>
    <w:p w14:paraId="69E3C636" w14:textId="7915F703" w:rsidR="00877C4E" w:rsidRDefault="00877C4E" w:rsidP="00877C4E">
      <w:r w:rsidRPr="00841445">
        <w:rPr>
          <w:b/>
          <w:color w:val="0000FF"/>
        </w:rPr>
        <w:t>Proposal 2</w:t>
      </w:r>
      <w:r>
        <w:t xml:space="preserve">: For the case where UE cannot realize RAN4 MPR and A-MPR design based on joint NR and LTE allocation information, NR specification should allow UE </w:t>
      </w:r>
      <w:r w:rsidR="00F97B5F">
        <w:t>flexibility</w:t>
      </w:r>
      <w:r>
        <w:t xml:space="preserve"> </w:t>
      </w:r>
      <w:r w:rsidR="00F97B5F">
        <w:t>to</w:t>
      </w:r>
      <w:r>
        <w:t xml:space="preserve"> apply </w:t>
      </w:r>
      <w:r w:rsidR="00CF3301">
        <w:t>less</w:t>
      </w:r>
      <w:r>
        <w:t xml:space="preserve"> A-MPR on a selected</w:t>
      </w:r>
      <w:r w:rsidR="00CF3301">
        <w:t>/prioritized</w:t>
      </w:r>
      <w:r>
        <w:t xml:space="preserve"> RAT</w:t>
      </w:r>
      <w:r w:rsidR="009B4137">
        <w:t xml:space="preserve"> for better UL throughput</w:t>
      </w:r>
      <w:r>
        <w:t>, subject to the spectral emission requirement.</w:t>
      </w:r>
    </w:p>
    <w:p w14:paraId="6460BF82" w14:textId="77777777" w:rsidR="001A5EDE" w:rsidRPr="00FF563D" w:rsidRDefault="001A5EDE" w:rsidP="00FF563D"/>
    <w:p w14:paraId="73FA25F9" w14:textId="5CB423DF" w:rsidR="002D44AF" w:rsidRDefault="002D44AF" w:rsidP="002D44AF">
      <w:pPr>
        <w:pStyle w:val="Heading1"/>
        <w:rPr>
          <w:color w:val="000000"/>
        </w:rPr>
      </w:pPr>
      <w:r w:rsidRPr="00180817">
        <w:rPr>
          <w:rFonts w:hint="eastAsia"/>
          <w:color w:val="000000"/>
        </w:rPr>
        <w:t>Conclusion</w:t>
      </w:r>
    </w:p>
    <w:p w14:paraId="20DAD037" w14:textId="6763A56F" w:rsidR="00D6197D" w:rsidRDefault="00877C4E" w:rsidP="00B422C8">
      <w:r>
        <w:t>In this contribution, we show a practical modem arch</w:t>
      </w:r>
      <w:r w:rsidR="00841445">
        <w:t>itecture of an</w:t>
      </w:r>
      <w:r>
        <w:t xml:space="preserve"> EN-DC </w:t>
      </w:r>
      <w:r w:rsidR="00841445">
        <w:t xml:space="preserve">type-1 </w:t>
      </w:r>
      <w:r>
        <w:t>UE and the possibility to realize RAN4 MPR and A-MPR design requiring joint NR and LTE allocation information even when NR grant is not 4 ms</w:t>
      </w:r>
      <w:r w:rsidR="00841445">
        <w:t xml:space="preserve"> prior to LTE UL. For the case </w:t>
      </w:r>
      <w:r>
        <w:t xml:space="preserve">UE cannot realize RAN4 design for type-1 UE due to very late NR grant, there can still </w:t>
      </w:r>
      <w:r w:rsidR="00CF3301">
        <w:t>apply</w:t>
      </w:r>
      <w:r>
        <w:t xml:space="preserve"> </w:t>
      </w:r>
      <w:r w:rsidR="00CF3301">
        <w:t>less</w:t>
      </w:r>
      <w:r>
        <w:t xml:space="preserve"> A-MPR on a selected</w:t>
      </w:r>
      <w:r w:rsidR="00CF3301">
        <w:t>/prioritized</w:t>
      </w:r>
      <w:r>
        <w:t xml:space="preserve"> RAT </w:t>
      </w:r>
      <w:r w:rsidR="00841445">
        <w:t>for better</w:t>
      </w:r>
      <w:r>
        <w:t xml:space="preserve"> UL throughput. Finally, </w:t>
      </w:r>
      <w:r w:rsidR="00841445">
        <w:t>the following proposals are suggested:</w:t>
      </w:r>
    </w:p>
    <w:p w14:paraId="040E101B" w14:textId="77777777" w:rsidR="00841445" w:rsidRDefault="00841445" w:rsidP="00841445">
      <w:r w:rsidRPr="00841445">
        <w:rPr>
          <w:b/>
          <w:color w:val="0000FF"/>
        </w:rPr>
        <w:t>Proposal 1</w:t>
      </w:r>
      <w:r>
        <w:t>: NR specification on EN-DC MPR and A-MPR should allow the capable UE that can realize the RAN4 MPR and A-MPR design based on joint NR and LTE allocation information even when NR grant is not 4 ms prior to LTE UL.</w:t>
      </w:r>
    </w:p>
    <w:p w14:paraId="2A8C9462" w14:textId="77777777" w:rsidR="00841445" w:rsidRDefault="00841445" w:rsidP="00841445">
      <w:pPr>
        <w:pStyle w:val="ListParagraph"/>
        <w:numPr>
          <w:ilvl w:val="0"/>
          <w:numId w:val="50"/>
        </w:numPr>
      </w:pPr>
      <w:r>
        <w:t>A capability signalling on the allowed timing delay between NR grant and LTE UL start can be added.</w:t>
      </w:r>
    </w:p>
    <w:p w14:paraId="723478E3" w14:textId="511D298B" w:rsidR="00877C4E" w:rsidRPr="00966610" w:rsidRDefault="00841445" w:rsidP="00B422C8">
      <w:r w:rsidRPr="00841445">
        <w:rPr>
          <w:b/>
          <w:color w:val="0000FF"/>
        </w:rPr>
        <w:t>Proposal 2</w:t>
      </w:r>
      <w:r>
        <w:t xml:space="preserve">: For the case where UE cannot realize RAN4 MPR and A-MPR design based on joint NR and LTE allocation information, NR specification should allow UE </w:t>
      </w:r>
      <w:r w:rsidR="00F97B5F">
        <w:t xml:space="preserve">flexibility </w:t>
      </w:r>
      <w:r w:rsidR="00F97B5F">
        <w:t>to</w:t>
      </w:r>
      <w:r>
        <w:t xml:space="preserve"> apply </w:t>
      </w:r>
      <w:r w:rsidR="00CF3301">
        <w:t>less</w:t>
      </w:r>
      <w:r>
        <w:t xml:space="preserve"> A-MPR on a selected</w:t>
      </w:r>
      <w:r w:rsidR="00CF3301">
        <w:t>/prioritized</w:t>
      </w:r>
      <w:r>
        <w:t xml:space="preserve"> RAT</w:t>
      </w:r>
      <w:r w:rsidR="009B4137">
        <w:t xml:space="preserve"> for better UL throughput</w:t>
      </w:r>
      <w:r>
        <w:t>, subject to the spectral emission requirement.</w:t>
      </w:r>
    </w:p>
    <w:p w14:paraId="223B3267" w14:textId="77777777" w:rsidR="00B422C8" w:rsidRPr="00B422C8" w:rsidRDefault="00B422C8" w:rsidP="00B422C8"/>
    <w:p w14:paraId="5E8FC614" w14:textId="77777777" w:rsidR="002D44AF" w:rsidRDefault="002D44AF" w:rsidP="005E009C">
      <w:pPr>
        <w:pStyle w:val="Heading1"/>
        <w:numPr>
          <w:ilvl w:val="0"/>
          <w:numId w:val="0"/>
        </w:numPr>
        <w:ind w:left="432" w:hanging="432"/>
        <w:rPr>
          <w:lang w:val="en-US" w:eastAsia="zh-TW"/>
        </w:rPr>
      </w:pPr>
      <w:r w:rsidRPr="00233A56">
        <w:rPr>
          <w:rFonts w:hint="eastAsia"/>
          <w:lang w:val="en-US" w:eastAsia="zh-TW"/>
        </w:rPr>
        <w:t>References</w:t>
      </w:r>
    </w:p>
    <w:p w14:paraId="4CAEDA96" w14:textId="26507F0B" w:rsidR="00AE72FE" w:rsidRDefault="00D928CD" w:rsidP="00D928CD">
      <w:pPr>
        <w:pStyle w:val="ListParagraph"/>
        <w:numPr>
          <w:ilvl w:val="0"/>
          <w:numId w:val="45"/>
        </w:numPr>
        <w:rPr>
          <w:szCs w:val="24"/>
        </w:rPr>
      </w:pPr>
      <w:r w:rsidRPr="00D928CD">
        <w:rPr>
          <w:szCs w:val="24"/>
        </w:rPr>
        <w:t>R1-1807974</w:t>
      </w:r>
      <w:r>
        <w:rPr>
          <w:szCs w:val="24"/>
        </w:rPr>
        <w:t>, “</w:t>
      </w:r>
      <w:r w:rsidRPr="00D928CD">
        <w:rPr>
          <w:szCs w:val="24"/>
        </w:rPr>
        <w:t>Reply LS on RAN4 agreement on intraband EN-DC A-MPR</w:t>
      </w:r>
      <w:r>
        <w:rPr>
          <w:szCs w:val="24"/>
        </w:rPr>
        <w:t xml:space="preserve">,” </w:t>
      </w:r>
      <w:r w:rsidRPr="00D928CD">
        <w:rPr>
          <w:szCs w:val="24"/>
        </w:rPr>
        <w:t>RAN1</w:t>
      </w:r>
    </w:p>
    <w:p w14:paraId="6B0486DA" w14:textId="1D1455A4" w:rsidR="00DC3E7B" w:rsidRDefault="00D928CD" w:rsidP="00D928CD">
      <w:pPr>
        <w:pStyle w:val="ListParagraph"/>
        <w:numPr>
          <w:ilvl w:val="0"/>
          <w:numId w:val="45"/>
        </w:numPr>
        <w:rPr>
          <w:szCs w:val="24"/>
        </w:rPr>
      </w:pPr>
      <w:r w:rsidRPr="00D928CD">
        <w:rPr>
          <w:szCs w:val="24"/>
        </w:rPr>
        <w:t>R1-1807805, “LS on RAN4 agreement on intraband EN-DC A-MPR”, RAN4</w:t>
      </w:r>
    </w:p>
    <w:p w14:paraId="42A017A4" w14:textId="77777777" w:rsidR="0040683D" w:rsidRDefault="0040683D" w:rsidP="00877C4E">
      <w:pPr>
        <w:rPr>
          <w:lang w:eastAsia="en-GB"/>
        </w:rPr>
      </w:pPr>
    </w:p>
    <w:p w14:paraId="4097F28F" w14:textId="77777777" w:rsidR="0040683D" w:rsidRPr="0040683D" w:rsidRDefault="0040683D" w:rsidP="0040683D">
      <w:pPr>
        <w:ind w:left="360"/>
        <w:rPr>
          <w:szCs w:val="24"/>
        </w:rPr>
      </w:pPr>
    </w:p>
    <w:sectPr w:rsidR="0040683D" w:rsidRPr="0040683D" w:rsidSect="00110AF0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65E87" w14:textId="77777777" w:rsidR="006879E5" w:rsidRDefault="006879E5">
      <w:r>
        <w:separator/>
      </w:r>
    </w:p>
  </w:endnote>
  <w:endnote w:type="continuationSeparator" w:id="0">
    <w:p w14:paraId="7F91CB15" w14:textId="77777777" w:rsidR="006879E5" w:rsidRDefault="0068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C5700" w14:textId="77777777" w:rsidR="006879E5" w:rsidRDefault="006879E5">
      <w:r>
        <w:separator/>
      </w:r>
    </w:p>
  </w:footnote>
  <w:footnote w:type="continuationSeparator" w:id="0">
    <w:p w14:paraId="40DEE944" w14:textId="77777777" w:rsidR="006879E5" w:rsidRDefault="00687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644D6"/>
    <w:multiLevelType w:val="hybridMultilevel"/>
    <w:tmpl w:val="172EAEDA"/>
    <w:lvl w:ilvl="0" w:tplc="602C0C9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AED25DD2">
      <w:start w:val="20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DEA47F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3E8F9E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ACD01E2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3C2B4F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F3A6B1F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7D800A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EF90F5A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" w15:restartNumberingAfterBreak="0">
    <w:nsid w:val="09DF4F7C"/>
    <w:multiLevelType w:val="hybridMultilevel"/>
    <w:tmpl w:val="12860070"/>
    <w:lvl w:ilvl="0" w:tplc="3ABEF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AC2F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FDA439A6">
      <w:start w:val="4729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0EC34EC">
      <w:start w:val="472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1DE90E4">
      <w:start w:val="4729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F628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CD2C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5D8AE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0921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" w15:restartNumberingAfterBreak="0">
    <w:nsid w:val="0B4F7CE5"/>
    <w:multiLevelType w:val="hybridMultilevel"/>
    <w:tmpl w:val="4986122C"/>
    <w:lvl w:ilvl="0" w:tplc="7AAE0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82AB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1522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72EE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721C3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FF0C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C428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040C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B27CE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" w15:restartNumberingAfterBreak="0">
    <w:nsid w:val="0BD77A7F"/>
    <w:multiLevelType w:val="hybridMultilevel"/>
    <w:tmpl w:val="6346F0AE"/>
    <w:lvl w:ilvl="0" w:tplc="0024DDC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B8F89B8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53E291F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75000DF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130983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6787FC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A6E0508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6E885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30AE6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5" w15:restartNumberingAfterBreak="0">
    <w:nsid w:val="0BD947C2"/>
    <w:multiLevelType w:val="hybridMultilevel"/>
    <w:tmpl w:val="5CFA52BC"/>
    <w:lvl w:ilvl="0" w:tplc="04090001">
      <w:start w:val="1"/>
      <w:numFmt w:val="bullet"/>
      <w:lvlText w:val=""/>
      <w:lvlJc w:val="left"/>
      <w:pPr>
        <w:ind w:left="561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81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6" w15:restartNumberingAfterBreak="0">
    <w:nsid w:val="0CBA780D"/>
    <w:multiLevelType w:val="hybridMultilevel"/>
    <w:tmpl w:val="CD56F240"/>
    <w:lvl w:ilvl="0" w:tplc="16E6C9F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F86F1CE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822692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AEAA14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B668C8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2923C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3DE2DA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7B8D4C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2F0299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7" w15:restartNumberingAfterBreak="0">
    <w:nsid w:val="11A80A21"/>
    <w:multiLevelType w:val="hybridMultilevel"/>
    <w:tmpl w:val="A45E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F0157"/>
    <w:multiLevelType w:val="hybridMultilevel"/>
    <w:tmpl w:val="47DAE97A"/>
    <w:lvl w:ilvl="0" w:tplc="89724B5E">
      <w:numFmt w:val="bullet"/>
      <w:lvlText w:val=""/>
      <w:lvlJc w:val="left"/>
      <w:pPr>
        <w:ind w:left="108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45F2C"/>
    <w:multiLevelType w:val="hybridMultilevel"/>
    <w:tmpl w:val="C7885042"/>
    <w:lvl w:ilvl="0" w:tplc="66D2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D5406F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FB4F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640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6A5A8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C2BAE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38C8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7E29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3A60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0" w15:restartNumberingAfterBreak="0">
    <w:nsid w:val="135D00F3"/>
    <w:multiLevelType w:val="hybridMultilevel"/>
    <w:tmpl w:val="2760D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F070A"/>
    <w:multiLevelType w:val="hybridMultilevel"/>
    <w:tmpl w:val="8FF6668C"/>
    <w:lvl w:ilvl="0" w:tplc="7F38ED8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AD6CBCC">
      <w:start w:val="41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37E78DE">
      <w:start w:val="410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13428E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726F8B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70CAD1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872821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AD6040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A48DFF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116704"/>
    <w:multiLevelType w:val="hybridMultilevel"/>
    <w:tmpl w:val="BB228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C1844"/>
    <w:multiLevelType w:val="hybridMultilevel"/>
    <w:tmpl w:val="523C31B0"/>
    <w:lvl w:ilvl="0" w:tplc="8D6E30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CC6715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04A715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5FA073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EF74C50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8F85D9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166038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5B3A423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95602A9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5" w15:restartNumberingAfterBreak="0">
    <w:nsid w:val="20AE65AD"/>
    <w:multiLevelType w:val="hybridMultilevel"/>
    <w:tmpl w:val="CF92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847C3"/>
    <w:multiLevelType w:val="hybridMultilevel"/>
    <w:tmpl w:val="9746C58A"/>
    <w:lvl w:ilvl="0" w:tplc="291EDA4E">
      <w:numFmt w:val="bullet"/>
      <w:lvlText w:val=""/>
      <w:lvlJc w:val="left"/>
      <w:pPr>
        <w:ind w:left="72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C4624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22649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E6290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F30BD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D4C7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D429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26F36ADF"/>
    <w:multiLevelType w:val="hybridMultilevel"/>
    <w:tmpl w:val="768E8A78"/>
    <w:lvl w:ilvl="0" w:tplc="A32EA3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B74DFBC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E780DB5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2F3220E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5FA907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0D897F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D1BA585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45E704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B2F296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9" w15:restartNumberingAfterBreak="0">
    <w:nsid w:val="2CAB6134"/>
    <w:multiLevelType w:val="hybridMultilevel"/>
    <w:tmpl w:val="C322A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1543C"/>
    <w:multiLevelType w:val="hybridMultilevel"/>
    <w:tmpl w:val="9CDC41D2"/>
    <w:lvl w:ilvl="0" w:tplc="A8EC138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E93E8ED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01EE28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0F66382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5207D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F6C400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13684C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3D6797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6BEDCC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1" w15:restartNumberingAfterBreak="0">
    <w:nsid w:val="31E56620"/>
    <w:multiLevelType w:val="hybridMultilevel"/>
    <w:tmpl w:val="6B8A2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E784E"/>
    <w:multiLevelType w:val="hybridMultilevel"/>
    <w:tmpl w:val="196E0544"/>
    <w:lvl w:ilvl="0" w:tplc="4F7CB44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F35A7250">
      <w:start w:val="26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E8CEC33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0FAA32C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D9E4FA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C74034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65E9AB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64CFB2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CB9C9C2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3" w15:restartNumberingAfterBreak="0">
    <w:nsid w:val="35693E1F"/>
    <w:multiLevelType w:val="hybridMultilevel"/>
    <w:tmpl w:val="FC3E9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549C4"/>
    <w:multiLevelType w:val="hybridMultilevel"/>
    <w:tmpl w:val="926E140C"/>
    <w:lvl w:ilvl="0" w:tplc="D9E0F34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4DADE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C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3121E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3E9D50B4"/>
    <w:multiLevelType w:val="hybridMultilevel"/>
    <w:tmpl w:val="5C1C2E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67A77"/>
    <w:multiLevelType w:val="hybridMultilevel"/>
    <w:tmpl w:val="A40E4E0A"/>
    <w:lvl w:ilvl="0" w:tplc="3CC23C3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836583"/>
    <w:multiLevelType w:val="hybridMultilevel"/>
    <w:tmpl w:val="1D98A84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403"/>
        </w:tabs>
        <w:ind w:left="440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F733446"/>
    <w:multiLevelType w:val="hybridMultilevel"/>
    <w:tmpl w:val="375E9754"/>
    <w:lvl w:ilvl="0" w:tplc="DC3A315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14C055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820858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486C96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A3A68A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4A2840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4C4E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100A8A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8C6DF4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1" w15:restartNumberingAfterBreak="0">
    <w:nsid w:val="53040DFF"/>
    <w:multiLevelType w:val="hybridMultilevel"/>
    <w:tmpl w:val="67882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5722CC5"/>
    <w:multiLevelType w:val="hybridMultilevel"/>
    <w:tmpl w:val="82824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4A0630"/>
    <w:multiLevelType w:val="hybridMultilevel"/>
    <w:tmpl w:val="0F242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A7336"/>
    <w:multiLevelType w:val="hybridMultilevel"/>
    <w:tmpl w:val="46E0868A"/>
    <w:lvl w:ilvl="0" w:tplc="F98E81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0F2267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F12A81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ADE0FED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A844E6B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B1D81C5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FE43E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413F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DC230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6" w15:restartNumberingAfterBreak="0">
    <w:nsid w:val="677139A0"/>
    <w:multiLevelType w:val="hybridMultilevel"/>
    <w:tmpl w:val="DDD4B170"/>
    <w:lvl w:ilvl="0" w:tplc="08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7" w15:restartNumberingAfterBreak="0">
    <w:nsid w:val="6B351220"/>
    <w:multiLevelType w:val="hybridMultilevel"/>
    <w:tmpl w:val="07828454"/>
    <w:lvl w:ilvl="0" w:tplc="1F22A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F32E3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07A736E">
      <w:start w:val="263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1765C6C">
      <w:start w:val="263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29E6B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BF4C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856D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94E3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20A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8" w15:restartNumberingAfterBreak="0">
    <w:nsid w:val="6C205488"/>
    <w:multiLevelType w:val="hybridMultilevel"/>
    <w:tmpl w:val="7BC22EEC"/>
    <w:lvl w:ilvl="0" w:tplc="9BBA9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AA48D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52364F6C">
      <w:start w:val="263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74848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5347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CA666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E9A1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3BE4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6DA1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9" w15:restartNumberingAfterBreak="0">
    <w:nsid w:val="6C640876"/>
    <w:multiLevelType w:val="hybridMultilevel"/>
    <w:tmpl w:val="88C20F1A"/>
    <w:lvl w:ilvl="0" w:tplc="D616A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006F8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046D12C">
      <w:start w:val="465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21E6D956">
      <w:start w:val="465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5518D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574C7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F483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A928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646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0" w15:restartNumberingAfterBreak="0">
    <w:nsid w:val="6D593661"/>
    <w:multiLevelType w:val="hybridMultilevel"/>
    <w:tmpl w:val="35FEC31A"/>
    <w:lvl w:ilvl="0" w:tplc="69CC3442">
      <w:numFmt w:val="bullet"/>
      <w:lvlText w:val=""/>
      <w:lvlJc w:val="left"/>
      <w:pPr>
        <w:ind w:left="72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C3C92"/>
    <w:multiLevelType w:val="hybridMultilevel"/>
    <w:tmpl w:val="024A2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7C1C6D"/>
    <w:multiLevelType w:val="hybridMultilevel"/>
    <w:tmpl w:val="6CAC6394"/>
    <w:lvl w:ilvl="0" w:tplc="A79ED06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B668F6E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90C34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B8D659C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E2ECBF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0C26A3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C42E48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D38552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152E31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3" w15:restartNumberingAfterBreak="0">
    <w:nsid w:val="718E23C0"/>
    <w:multiLevelType w:val="hybridMultilevel"/>
    <w:tmpl w:val="8D84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A33789"/>
    <w:multiLevelType w:val="hybridMultilevel"/>
    <w:tmpl w:val="81A03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73264"/>
    <w:multiLevelType w:val="hybridMultilevel"/>
    <w:tmpl w:val="EC02B20A"/>
    <w:lvl w:ilvl="0" w:tplc="CC102EB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EC61C6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F62785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F7C4F7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22F2FD7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2354B5C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DA4E1F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946E1D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00EE27C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6" w15:restartNumberingAfterBreak="0">
    <w:nsid w:val="753C5D97"/>
    <w:multiLevelType w:val="hybridMultilevel"/>
    <w:tmpl w:val="BCE4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AB2B39"/>
    <w:multiLevelType w:val="hybridMultilevel"/>
    <w:tmpl w:val="C15EC70C"/>
    <w:lvl w:ilvl="0" w:tplc="89724B5E">
      <w:numFmt w:val="bullet"/>
      <w:lvlText w:val=""/>
      <w:lvlJc w:val="left"/>
      <w:pPr>
        <w:ind w:left="108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987759D"/>
    <w:multiLevelType w:val="hybridMultilevel"/>
    <w:tmpl w:val="CD9ED7CA"/>
    <w:lvl w:ilvl="0" w:tplc="F70E5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9AAF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459CC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9F66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A949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58BC9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53E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C8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E584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9" w15:restartNumberingAfterBreak="0">
    <w:nsid w:val="7D4E5EBA"/>
    <w:multiLevelType w:val="hybridMultilevel"/>
    <w:tmpl w:val="7F84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25"/>
  </w:num>
  <w:num w:numId="4">
    <w:abstractNumId w:val="17"/>
  </w:num>
  <w:num w:numId="5">
    <w:abstractNumId w:val="23"/>
  </w:num>
  <w:num w:numId="6">
    <w:abstractNumId w:val="43"/>
  </w:num>
  <w:num w:numId="7">
    <w:abstractNumId w:val="42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48"/>
  </w:num>
  <w:num w:numId="13">
    <w:abstractNumId w:val="35"/>
  </w:num>
  <w:num w:numId="14">
    <w:abstractNumId w:val="20"/>
  </w:num>
  <w:num w:numId="15">
    <w:abstractNumId w:val="4"/>
  </w:num>
  <w:num w:numId="16">
    <w:abstractNumId w:val="21"/>
  </w:num>
  <w:num w:numId="17">
    <w:abstractNumId w:val="1"/>
  </w:num>
  <w:num w:numId="18">
    <w:abstractNumId w:val="44"/>
  </w:num>
  <w:num w:numId="19">
    <w:abstractNumId w:val="45"/>
  </w:num>
  <w:num w:numId="20">
    <w:abstractNumId w:val="49"/>
  </w:num>
  <w:num w:numId="21">
    <w:abstractNumId w:val="19"/>
  </w:num>
  <w:num w:numId="22">
    <w:abstractNumId w:val="41"/>
  </w:num>
  <w:num w:numId="23">
    <w:abstractNumId w:val="0"/>
  </w:num>
  <w:num w:numId="24">
    <w:abstractNumId w:val="46"/>
  </w:num>
  <w:num w:numId="25">
    <w:abstractNumId w:val="40"/>
  </w:num>
  <w:num w:numId="26">
    <w:abstractNumId w:val="16"/>
  </w:num>
  <w:num w:numId="27">
    <w:abstractNumId w:val="47"/>
  </w:num>
  <w:num w:numId="28">
    <w:abstractNumId w:val="11"/>
  </w:num>
  <w:num w:numId="29">
    <w:abstractNumId w:val="8"/>
  </w:num>
  <w:num w:numId="30">
    <w:abstractNumId w:val="39"/>
  </w:num>
  <w:num w:numId="31">
    <w:abstractNumId w:val="2"/>
  </w:num>
  <w:num w:numId="32">
    <w:abstractNumId w:val="14"/>
  </w:num>
  <w:num w:numId="33">
    <w:abstractNumId w:val="30"/>
  </w:num>
  <w:num w:numId="34">
    <w:abstractNumId w:val="37"/>
  </w:num>
  <w:num w:numId="35">
    <w:abstractNumId w:val="38"/>
  </w:num>
  <w:num w:numId="36">
    <w:abstractNumId w:val="9"/>
  </w:num>
  <w:num w:numId="37">
    <w:abstractNumId w:val="22"/>
  </w:num>
  <w:num w:numId="38">
    <w:abstractNumId w:val="7"/>
  </w:num>
  <w:num w:numId="39">
    <w:abstractNumId w:val="15"/>
  </w:num>
  <w:num w:numId="40">
    <w:abstractNumId w:val="5"/>
  </w:num>
  <w:num w:numId="41">
    <w:abstractNumId w:val="32"/>
  </w:num>
  <w:num w:numId="42">
    <w:abstractNumId w:val="27"/>
  </w:num>
  <w:num w:numId="43">
    <w:abstractNumId w:val="28"/>
  </w:num>
  <w:num w:numId="44">
    <w:abstractNumId w:val="10"/>
  </w:num>
  <w:num w:numId="45">
    <w:abstractNumId w:val="24"/>
  </w:num>
  <w:num w:numId="46">
    <w:abstractNumId w:val="36"/>
  </w:num>
  <w:num w:numId="47">
    <w:abstractNumId w:val="33"/>
  </w:num>
  <w:num w:numId="48">
    <w:abstractNumId w:val="31"/>
  </w:num>
  <w:num w:numId="49">
    <w:abstractNumId w:val="26"/>
  </w:num>
  <w:num w:numId="50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6F"/>
    <w:rsid w:val="0000797A"/>
    <w:rsid w:val="000121C0"/>
    <w:rsid w:val="00014444"/>
    <w:rsid w:val="00015793"/>
    <w:rsid w:val="00015873"/>
    <w:rsid w:val="0002191D"/>
    <w:rsid w:val="000222CB"/>
    <w:rsid w:val="0002426D"/>
    <w:rsid w:val="000266A0"/>
    <w:rsid w:val="00026F21"/>
    <w:rsid w:val="000306A4"/>
    <w:rsid w:val="00031C1D"/>
    <w:rsid w:val="00032F6B"/>
    <w:rsid w:val="000332B2"/>
    <w:rsid w:val="000343F5"/>
    <w:rsid w:val="00034473"/>
    <w:rsid w:val="00035C8A"/>
    <w:rsid w:val="00036802"/>
    <w:rsid w:val="00036CAD"/>
    <w:rsid w:val="00036E9D"/>
    <w:rsid w:val="0003772F"/>
    <w:rsid w:val="00041C77"/>
    <w:rsid w:val="0004315C"/>
    <w:rsid w:val="0004557B"/>
    <w:rsid w:val="000472D9"/>
    <w:rsid w:val="00047DB7"/>
    <w:rsid w:val="00053BDB"/>
    <w:rsid w:val="00053C5F"/>
    <w:rsid w:val="00054D06"/>
    <w:rsid w:val="00056973"/>
    <w:rsid w:val="00057DC0"/>
    <w:rsid w:val="0006176A"/>
    <w:rsid w:val="000646D3"/>
    <w:rsid w:val="00065840"/>
    <w:rsid w:val="000672B2"/>
    <w:rsid w:val="0006733D"/>
    <w:rsid w:val="000728B9"/>
    <w:rsid w:val="00072D4C"/>
    <w:rsid w:val="00074BF1"/>
    <w:rsid w:val="00075A79"/>
    <w:rsid w:val="000804BB"/>
    <w:rsid w:val="00082AA4"/>
    <w:rsid w:val="000837A9"/>
    <w:rsid w:val="0008693B"/>
    <w:rsid w:val="00087287"/>
    <w:rsid w:val="0008738E"/>
    <w:rsid w:val="00093E7E"/>
    <w:rsid w:val="0009595E"/>
    <w:rsid w:val="0009679F"/>
    <w:rsid w:val="00096F03"/>
    <w:rsid w:val="000A02F0"/>
    <w:rsid w:val="000A28EE"/>
    <w:rsid w:val="000A2E10"/>
    <w:rsid w:val="000A3132"/>
    <w:rsid w:val="000A75D8"/>
    <w:rsid w:val="000A764D"/>
    <w:rsid w:val="000A7B03"/>
    <w:rsid w:val="000B0020"/>
    <w:rsid w:val="000B0083"/>
    <w:rsid w:val="000B2EF7"/>
    <w:rsid w:val="000B30B6"/>
    <w:rsid w:val="000B3A12"/>
    <w:rsid w:val="000B42AC"/>
    <w:rsid w:val="000B4CAE"/>
    <w:rsid w:val="000B5B95"/>
    <w:rsid w:val="000C0E80"/>
    <w:rsid w:val="000C284B"/>
    <w:rsid w:val="000C43F7"/>
    <w:rsid w:val="000C44A9"/>
    <w:rsid w:val="000C7A8C"/>
    <w:rsid w:val="000D06B4"/>
    <w:rsid w:val="000D1E9A"/>
    <w:rsid w:val="000D3F86"/>
    <w:rsid w:val="000D54C6"/>
    <w:rsid w:val="000D5C69"/>
    <w:rsid w:val="000D6CFC"/>
    <w:rsid w:val="000E005A"/>
    <w:rsid w:val="000E16EB"/>
    <w:rsid w:val="000E284C"/>
    <w:rsid w:val="000E469E"/>
    <w:rsid w:val="000E4A2D"/>
    <w:rsid w:val="000E69EA"/>
    <w:rsid w:val="000F3EA8"/>
    <w:rsid w:val="000F7730"/>
    <w:rsid w:val="000F7EFE"/>
    <w:rsid w:val="001010BC"/>
    <w:rsid w:val="001012D3"/>
    <w:rsid w:val="00101381"/>
    <w:rsid w:val="001033DD"/>
    <w:rsid w:val="00107BEA"/>
    <w:rsid w:val="00107C99"/>
    <w:rsid w:val="00110AF0"/>
    <w:rsid w:val="00112480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6E09"/>
    <w:rsid w:val="00127382"/>
    <w:rsid w:val="001279D6"/>
    <w:rsid w:val="00130253"/>
    <w:rsid w:val="00130399"/>
    <w:rsid w:val="00131A87"/>
    <w:rsid w:val="00132A1B"/>
    <w:rsid w:val="00132BEB"/>
    <w:rsid w:val="001354B3"/>
    <w:rsid w:val="00135703"/>
    <w:rsid w:val="00135ED2"/>
    <w:rsid w:val="001373BD"/>
    <w:rsid w:val="00137B0F"/>
    <w:rsid w:val="0014010C"/>
    <w:rsid w:val="0014085D"/>
    <w:rsid w:val="00141DB0"/>
    <w:rsid w:val="00143961"/>
    <w:rsid w:val="0014420A"/>
    <w:rsid w:val="00144695"/>
    <w:rsid w:val="00152EF4"/>
    <w:rsid w:val="001534BC"/>
    <w:rsid w:val="00153528"/>
    <w:rsid w:val="001541D5"/>
    <w:rsid w:val="00154A79"/>
    <w:rsid w:val="0015718A"/>
    <w:rsid w:val="00160177"/>
    <w:rsid w:val="00161258"/>
    <w:rsid w:val="0016596F"/>
    <w:rsid w:val="001662E7"/>
    <w:rsid w:val="00167C76"/>
    <w:rsid w:val="00172031"/>
    <w:rsid w:val="0017415A"/>
    <w:rsid w:val="00174296"/>
    <w:rsid w:val="00175920"/>
    <w:rsid w:val="00177DC6"/>
    <w:rsid w:val="00180049"/>
    <w:rsid w:val="00180817"/>
    <w:rsid w:val="00180AC2"/>
    <w:rsid w:val="00182B95"/>
    <w:rsid w:val="001842CE"/>
    <w:rsid w:val="00185345"/>
    <w:rsid w:val="001911A9"/>
    <w:rsid w:val="00191AD9"/>
    <w:rsid w:val="00192434"/>
    <w:rsid w:val="0019315E"/>
    <w:rsid w:val="001937BB"/>
    <w:rsid w:val="00193E8F"/>
    <w:rsid w:val="00194839"/>
    <w:rsid w:val="00194FCC"/>
    <w:rsid w:val="001968B4"/>
    <w:rsid w:val="0019768C"/>
    <w:rsid w:val="001A08AA"/>
    <w:rsid w:val="001A0F90"/>
    <w:rsid w:val="001A20BD"/>
    <w:rsid w:val="001A3437"/>
    <w:rsid w:val="001A4EA6"/>
    <w:rsid w:val="001A5826"/>
    <w:rsid w:val="001A5EDE"/>
    <w:rsid w:val="001A6300"/>
    <w:rsid w:val="001A7CB3"/>
    <w:rsid w:val="001B3867"/>
    <w:rsid w:val="001C0D39"/>
    <w:rsid w:val="001C2EA0"/>
    <w:rsid w:val="001C5A24"/>
    <w:rsid w:val="001D028C"/>
    <w:rsid w:val="001D131B"/>
    <w:rsid w:val="001D50EA"/>
    <w:rsid w:val="001D7017"/>
    <w:rsid w:val="001D72E5"/>
    <w:rsid w:val="001D7D29"/>
    <w:rsid w:val="001E0941"/>
    <w:rsid w:val="001E19B5"/>
    <w:rsid w:val="001E3B39"/>
    <w:rsid w:val="001E4813"/>
    <w:rsid w:val="001E63A1"/>
    <w:rsid w:val="001E7D11"/>
    <w:rsid w:val="001F20F2"/>
    <w:rsid w:val="001F3A4A"/>
    <w:rsid w:val="001F6689"/>
    <w:rsid w:val="001F68B2"/>
    <w:rsid w:val="002004AE"/>
    <w:rsid w:val="002023A0"/>
    <w:rsid w:val="00202AE7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512C"/>
    <w:rsid w:val="00216D2C"/>
    <w:rsid w:val="00217582"/>
    <w:rsid w:val="00220954"/>
    <w:rsid w:val="002223A7"/>
    <w:rsid w:val="00222897"/>
    <w:rsid w:val="0022363F"/>
    <w:rsid w:val="00232D07"/>
    <w:rsid w:val="00233A56"/>
    <w:rsid w:val="00235394"/>
    <w:rsid w:val="00235A9B"/>
    <w:rsid w:val="00237173"/>
    <w:rsid w:val="00241D4B"/>
    <w:rsid w:val="0024493A"/>
    <w:rsid w:val="00245B82"/>
    <w:rsid w:val="0024674A"/>
    <w:rsid w:val="0025028C"/>
    <w:rsid w:val="002506F0"/>
    <w:rsid w:val="00252EB7"/>
    <w:rsid w:val="00253CD8"/>
    <w:rsid w:val="002549FC"/>
    <w:rsid w:val="002570A5"/>
    <w:rsid w:val="00257500"/>
    <w:rsid w:val="0026179F"/>
    <w:rsid w:val="00265893"/>
    <w:rsid w:val="0026698C"/>
    <w:rsid w:val="00274E1A"/>
    <w:rsid w:val="00275368"/>
    <w:rsid w:val="00275E1D"/>
    <w:rsid w:val="00276F76"/>
    <w:rsid w:val="002770F4"/>
    <w:rsid w:val="00281609"/>
    <w:rsid w:val="00282213"/>
    <w:rsid w:val="002863A3"/>
    <w:rsid w:val="00287850"/>
    <w:rsid w:val="00287BC6"/>
    <w:rsid w:val="00287D65"/>
    <w:rsid w:val="00290D7F"/>
    <w:rsid w:val="0029193E"/>
    <w:rsid w:val="00292870"/>
    <w:rsid w:val="0029299D"/>
    <w:rsid w:val="00297444"/>
    <w:rsid w:val="00297FB4"/>
    <w:rsid w:val="002A2935"/>
    <w:rsid w:val="002A2D8B"/>
    <w:rsid w:val="002A4C60"/>
    <w:rsid w:val="002A4EB1"/>
    <w:rsid w:val="002A63E4"/>
    <w:rsid w:val="002A6FE9"/>
    <w:rsid w:val="002B19E9"/>
    <w:rsid w:val="002B1B3B"/>
    <w:rsid w:val="002B3815"/>
    <w:rsid w:val="002B419D"/>
    <w:rsid w:val="002B429C"/>
    <w:rsid w:val="002B492D"/>
    <w:rsid w:val="002B6292"/>
    <w:rsid w:val="002B6CEF"/>
    <w:rsid w:val="002B7BC4"/>
    <w:rsid w:val="002B7BFF"/>
    <w:rsid w:val="002C3F4C"/>
    <w:rsid w:val="002C5300"/>
    <w:rsid w:val="002D06F5"/>
    <w:rsid w:val="002D0FCD"/>
    <w:rsid w:val="002D1BF6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3123"/>
    <w:rsid w:val="002E42E8"/>
    <w:rsid w:val="002E4368"/>
    <w:rsid w:val="002E5799"/>
    <w:rsid w:val="002E5EFC"/>
    <w:rsid w:val="002E6BC6"/>
    <w:rsid w:val="002E7DE5"/>
    <w:rsid w:val="002F01C0"/>
    <w:rsid w:val="002F030F"/>
    <w:rsid w:val="002F29D3"/>
    <w:rsid w:val="002F2B29"/>
    <w:rsid w:val="002F300C"/>
    <w:rsid w:val="002F3BD7"/>
    <w:rsid w:val="002F4093"/>
    <w:rsid w:val="002F40CC"/>
    <w:rsid w:val="002F428E"/>
    <w:rsid w:val="002F63F6"/>
    <w:rsid w:val="002F7D50"/>
    <w:rsid w:val="00300D2E"/>
    <w:rsid w:val="00302C96"/>
    <w:rsid w:val="0030466C"/>
    <w:rsid w:val="003052DA"/>
    <w:rsid w:val="003068AB"/>
    <w:rsid w:val="0030693F"/>
    <w:rsid w:val="003071FF"/>
    <w:rsid w:val="00313089"/>
    <w:rsid w:val="003140CB"/>
    <w:rsid w:val="003168BC"/>
    <w:rsid w:val="00317783"/>
    <w:rsid w:val="003210CC"/>
    <w:rsid w:val="0032165D"/>
    <w:rsid w:val="00322BBD"/>
    <w:rsid w:val="003230B0"/>
    <w:rsid w:val="00323842"/>
    <w:rsid w:val="00325AD5"/>
    <w:rsid w:val="00326B16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435C5"/>
    <w:rsid w:val="00345B4F"/>
    <w:rsid w:val="00350C71"/>
    <w:rsid w:val="00350E37"/>
    <w:rsid w:val="003540D1"/>
    <w:rsid w:val="00354EBB"/>
    <w:rsid w:val="00355BF1"/>
    <w:rsid w:val="00356531"/>
    <w:rsid w:val="003569A0"/>
    <w:rsid w:val="003579DB"/>
    <w:rsid w:val="00357DDA"/>
    <w:rsid w:val="003628F4"/>
    <w:rsid w:val="00362BD0"/>
    <w:rsid w:val="003634CC"/>
    <w:rsid w:val="0036363F"/>
    <w:rsid w:val="00364521"/>
    <w:rsid w:val="00364CFD"/>
    <w:rsid w:val="00364D8E"/>
    <w:rsid w:val="00367724"/>
    <w:rsid w:val="00367D08"/>
    <w:rsid w:val="0037097E"/>
    <w:rsid w:val="00370A22"/>
    <w:rsid w:val="00377B02"/>
    <w:rsid w:val="00380F82"/>
    <w:rsid w:val="003816B4"/>
    <w:rsid w:val="0038413C"/>
    <w:rsid w:val="00384502"/>
    <w:rsid w:val="003969DE"/>
    <w:rsid w:val="003978CE"/>
    <w:rsid w:val="003A26DF"/>
    <w:rsid w:val="003A5FA4"/>
    <w:rsid w:val="003A6535"/>
    <w:rsid w:val="003A7FDA"/>
    <w:rsid w:val="003B037E"/>
    <w:rsid w:val="003B1CD7"/>
    <w:rsid w:val="003B25A7"/>
    <w:rsid w:val="003B360D"/>
    <w:rsid w:val="003B63FF"/>
    <w:rsid w:val="003C0127"/>
    <w:rsid w:val="003C245B"/>
    <w:rsid w:val="003C2562"/>
    <w:rsid w:val="003C2DC1"/>
    <w:rsid w:val="003C3166"/>
    <w:rsid w:val="003C3679"/>
    <w:rsid w:val="003C4DF7"/>
    <w:rsid w:val="003C7C79"/>
    <w:rsid w:val="003D0233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39EA"/>
    <w:rsid w:val="003E4FFB"/>
    <w:rsid w:val="003E5EAB"/>
    <w:rsid w:val="003E5F52"/>
    <w:rsid w:val="003F04F5"/>
    <w:rsid w:val="003F1503"/>
    <w:rsid w:val="003F1B8C"/>
    <w:rsid w:val="003F2A81"/>
    <w:rsid w:val="003F61EF"/>
    <w:rsid w:val="003F6410"/>
    <w:rsid w:val="00401562"/>
    <w:rsid w:val="004026D3"/>
    <w:rsid w:val="00404575"/>
    <w:rsid w:val="004048A8"/>
    <w:rsid w:val="00405038"/>
    <w:rsid w:val="00405657"/>
    <w:rsid w:val="0040683D"/>
    <w:rsid w:val="00407387"/>
    <w:rsid w:val="00410598"/>
    <w:rsid w:val="00413D74"/>
    <w:rsid w:val="0041441E"/>
    <w:rsid w:val="004145EC"/>
    <w:rsid w:val="00415DFC"/>
    <w:rsid w:val="0041688B"/>
    <w:rsid w:val="00422A70"/>
    <w:rsid w:val="00423C66"/>
    <w:rsid w:val="00424ED4"/>
    <w:rsid w:val="00427DBF"/>
    <w:rsid w:val="00433199"/>
    <w:rsid w:val="00436299"/>
    <w:rsid w:val="00436340"/>
    <w:rsid w:val="00436526"/>
    <w:rsid w:val="00444225"/>
    <w:rsid w:val="00445D09"/>
    <w:rsid w:val="00445D1B"/>
    <w:rsid w:val="0044690C"/>
    <w:rsid w:val="004502EA"/>
    <w:rsid w:val="00450F0F"/>
    <w:rsid w:val="00452AF3"/>
    <w:rsid w:val="004539A7"/>
    <w:rsid w:val="00454F89"/>
    <w:rsid w:val="00456BEA"/>
    <w:rsid w:val="00457C47"/>
    <w:rsid w:val="004652DB"/>
    <w:rsid w:val="00467776"/>
    <w:rsid w:val="004707C7"/>
    <w:rsid w:val="004714C0"/>
    <w:rsid w:val="00472056"/>
    <w:rsid w:val="00474A93"/>
    <w:rsid w:val="00476FC9"/>
    <w:rsid w:val="00481B8C"/>
    <w:rsid w:val="004825DC"/>
    <w:rsid w:val="00482CB5"/>
    <w:rsid w:val="004850AC"/>
    <w:rsid w:val="00485876"/>
    <w:rsid w:val="00487CBA"/>
    <w:rsid w:val="00494125"/>
    <w:rsid w:val="004944F1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13EF"/>
    <w:rsid w:val="004B253D"/>
    <w:rsid w:val="004B26E9"/>
    <w:rsid w:val="004B3C4D"/>
    <w:rsid w:val="004B3C64"/>
    <w:rsid w:val="004B5C7C"/>
    <w:rsid w:val="004B65B3"/>
    <w:rsid w:val="004C0650"/>
    <w:rsid w:val="004C151B"/>
    <w:rsid w:val="004C4D28"/>
    <w:rsid w:val="004C58A6"/>
    <w:rsid w:val="004C63F9"/>
    <w:rsid w:val="004D1531"/>
    <w:rsid w:val="004D1BEE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758"/>
    <w:rsid w:val="004F03DF"/>
    <w:rsid w:val="004F0B5D"/>
    <w:rsid w:val="004F59A8"/>
    <w:rsid w:val="004F5AB7"/>
    <w:rsid w:val="004F74EA"/>
    <w:rsid w:val="00501517"/>
    <w:rsid w:val="00503690"/>
    <w:rsid w:val="00503C68"/>
    <w:rsid w:val="00504C1D"/>
    <w:rsid w:val="00505BFA"/>
    <w:rsid w:val="00506586"/>
    <w:rsid w:val="005111CD"/>
    <w:rsid w:val="00513C96"/>
    <w:rsid w:val="00513E1C"/>
    <w:rsid w:val="00516B26"/>
    <w:rsid w:val="00520147"/>
    <w:rsid w:val="005203DE"/>
    <w:rsid w:val="00520B8A"/>
    <w:rsid w:val="0052180F"/>
    <w:rsid w:val="00523A04"/>
    <w:rsid w:val="0052417C"/>
    <w:rsid w:val="00525243"/>
    <w:rsid w:val="005259DC"/>
    <w:rsid w:val="005265BC"/>
    <w:rsid w:val="0052731E"/>
    <w:rsid w:val="005303DB"/>
    <w:rsid w:val="00530A13"/>
    <w:rsid w:val="00530F0C"/>
    <w:rsid w:val="00536AB5"/>
    <w:rsid w:val="005400D0"/>
    <w:rsid w:val="005406D9"/>
    <w:rsid w:val="005412AC"/>
    <w:rsid w:val="00551B47"/>
    <w:rsid w:val="005534EE"/>
    <w:rsid w:val="00554600"/>
    <w:rsid w:val="00556A55"/>
    <w:rsid w:val="00561966"/>
    <w:rsid w:val="00563111"/>
    <w:rsid w:val="00564539"/>
    <w:rsid w:val="005724AC"/>
    <w:rsid w:val="00575876"/>
    <w:rsid w:val="00577349"/>
    <w:rsid w:val="00577842"/>
    <w:rsid w:val="00580522"/>
    <w:rsid w:val="005806AA"/>
    <w:rsid w:val="00580EF2"/>
    <w:rsid w:val="005813B3"/>
    <w:rsid w:val="0058668B"/>
    <w:rsid w:val="00586BDE"/>
    <w:rsid w:val="005937DC"/>
    <w:rsid w:val="00593800"/>
    <w:rsid w:val="00595B59"/>
    <w:rsid w:val="005A023B"/>
    <w:rsid w:val="005A17B1"/>
    <w:rsid w:val="005A6683"/>
    <w:rsid w:val="005B193D"/>
    <w:rsid w:val="005B1F15"/>
    <w:rsid w:val="005B3F53"/>
    <w:rsid w:val="005B4416"/>
    <w:rsid w:val="005B4EE5"/>
    <w:rsid w:val="005B5C1C"/>
    <w:rsid w:val="005B7BAE"/>
    <w:rsid w:val="005C019D"/>
    <w:rsid w:val="005C453E"/>
    <w:rsid w:val="005C4CA3"/>
    <w:rsid w:val="005C4E15"/>
    <w:rsid w:val="005C4F05"/>
    <w:rsid w:val="005C6F72"/>
    <w:rsid w:val="005C74BE"/>
    <w:rsid w:val="005C7CB5"/>
    <w:rsid w:val="005D2673"/>
    <w:rsid w:val="005D3059"/>
    <w:rsid w:val="005D47F0"/>
    <w:rsid w:val="005D4C01"/>
    <w:rsid w:val="005E009C"/>
    <w:rsid w:val="005E0178"/>
    <w:rsid w:val="005E0DCD"/>
    <w:rsid w:val="005E4724"/>
    <w:rsid w:val="005E5985"/>
    <w:rsid w:val="005E7768"/>
    <w:rsid w:val="005E7E39"/>
    <w:rsid w:val="005F402C"/>
    <w:rsid w:val="005F55A3"/>
    <w:rsid w:val="005F55F8"/>
    <w:rsid w:val="005F57B4"/>
    <w:rsid w:val="005F58BD"/>
    <w:rsid w:val="005F626E"/>
    <w:rsid w:val="006002C5"/>
    <w:rsid w:val="006003DF"/>
    <w:rsid w:val="00601791"/>
    <w:rsid w:val="00601BCD"/>
    <w:rsid w:val="006033BC"/>
    <w:rsid w:val="0060469B"/>
    <w:rsid w:val="00607FC1"/>
    <w:rsid w:val="0061035E"/>
    <w:rsid w:val="0061230B"/>
    <w:rsid w:val="00617472"/>
    <w:rsid w:val="00617873"/>
    <w:rsid w:val="00620F88"/>
    <w:rsid w:val="00621321"/>
    <w:rsid w:val="00622066"/>
    <w:rsid w:val="006226BC"/>
    <w:rsid w:val="00624011"/>
    <w:rsid w:val="00627E7B"/>
    <w:rsid w:val="0063019F"/>
    <w:rsid w:val="0063052A"/>
    <w:rsid w:val="00630F44"/>
    <w:rsid w:val="006320EF"/>
    <w:rsid w:val="00636BCC"/>
    <w:rsid w:val="006428A0"/>
    <w:rsid w:val="0064474D"/>
    <w:rsid w:val="00644C1A"/>
    <w:rsid w:val="00644DBB"/>
    <w:rsid w:val="00646C17"/>
    <w:rsid w:val="00650697"/>
    <w:rsid w:val="006517D0"/>
    <w:rsid w:val="006525CF"/>
    <w:rsid w:val="0065310A"/>
    <w:rsid w:val="00654F94"/>
    <w:rsid w:val="006557C0"/>
    <w:rsid w:val="00655D0D"/>
    <w:rsid w:val="00656D64"/>
    <w:rsid w:val="0065702D"/>
    <w:rsid w:val="00662682"/>
    <w:rsid w:val="0066275E"/>
    <w:rsid w:val="00663C2D"/>
    <w:rsid w:val="00665A62"/>
    <w:rsid w:val="00665C04"/>
    <w:rsid w:val="00666664"/>
    <w:rsid w:val="0066734B"/>
    <w:rsid w:val="00670166"/>
    <w:rsid w:val="00671BEF"/>
    <w:rsid w:val="00674C3D"/>
    <w:rsid w:val="00675AB9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879E5"/>
    <w:rsid w:val="00690EB8"/>
    <w:rsid w:val="00692002"/>
    <w:rsid w:val="00692087"/>
    <w:rsid w:val="00695179"/>
    <w:rsid w:val="006A5938"/>
    <w:rsid w:val="006B2F94"/>
    <w:rsid w:val="006B3667"/>
    <w:rsid w:val="006B721C"/>
    <w:rsid w:val="006B737D"/>
    <w:rsid w:val="006B7E8A"/>
    <w:rsid w:val="006C08AD"/>
    <w:rsid w:val="006C1A9C"/>
    <w:rsid w:val="006C2076"/>
    <w:rsid w:val="006C3E68"/>
    <w:rsid w:val="006C5991"/>
    <w:rsid w:val="006C6A2F"/>
    <w:rsid w:val="006C75FA"/>
    <w:rsid w:val="006C7CF2"/>
    <w:rsid w:val="006D045A"/>
    <w:rsid w:val="006D0CE8"/>
    <w:rsid w:val="006D10DE"/>
    <w:rsid w:val="006D1231"/>
    <w:rsid w:val="006D24CA"/>
    <w:rsid w:val="006D2C0C"/>
    <w:rsid w:val="006D69C6"/>
    <w:rsid w:val="006E0979"/>
    <w:rsid w:val="006E0A9D"/>
    <w:rsid w:val="006E50C9"/>
    <w:rsid w:val="006E6BF4"/>
    <w:rsid w:val="006E77B3"/>
    <w:rsid w:val="006E7B14"/>
    <w:rsid w:val="006F24CF"/>
    <w:rsid w:val="006F2CE0"/>
    <w:rsid w:val="006F334B"/>
    <w:rsid w:val="00702D49"/>
    <w:rsid w:val="007033C1"/>
    <w:rsid w:val="00704E63"/>
    <w:rsid w:val="00706132"/>
    <w:rsid w:val="0070646B"/>
    <w:rsid w:val="00710FE8"/>
    <w:rsid w:val="0071157A"/>
    <w:rsid w:val="00712917"/>
    <w:rsid w:val="00712C29"/>
    <w:rsid w:val="00713B22"/>
    <w:rsid w:val="00720176"/>
    <w:rsid w:val="00722229"/>
    <w:rsid w:val="00722727"/>
    <w:rsid w:val="00723177"/>
    <w:rsid w:val="00725F80"/>
    <w:rsid w:val="00727C1E"/>
    <w:rsid w:val="007314A7"/>
    <w:rsid w:val="0073431D"/>
    <w:rsid w:val="0073609F"/>
    <w:rsid w:val="00736380"/>
    <w:rsid w:val="00737559"/>
    <w:rsid w:val="0074015A"/>
    <w:rsid w:val="00741B4A"/>
    <w:rsid w:val="007428EA"/>
    <w:rsid w:val="00743747"/>
    <w:rsid w:val="00744542"/>
    <w:rsid w:val="00744EEC"/>
    <w:rsid w:val="00750F62"/>
    <w:rsid w:val="00751D28"/>
    <w:rsid w:val="00753075"/>
    <w:rsid w:val="00755538"/>
    <w:rsid w:val="00755EDF"/>
    <w:rsid w:val="0076011B"/>
    <w:rsid w:val="007602AE"/>
    <w:rsid w:val="00763228"/>
    <w:rsid w:val="007644DE"/>
    <w:rsid w:val="0076592F"/>
    <w:rsid w:val="0077340D"/>
    <w:rsid w:val="00773C45"/>
    <w:rsid w:val="00775B54"/>
    <w:rsid w:val="00775E94"/>
    <w:rsid w:val="00777A9B"/>
    <w:rsid w:val="00777BBC"/>
    <w:rsid w:val="00777DAE"/>
    <w:rsid w:val="0078108A"/>
    <w:rsid w:val="00781894"/>
    <w:rsid w:val="00781B2C"/>
    <w:rsid w:val="0078336E"/>
    <w:rsid w:val="00784117"/>
    <w:rsid w:val="0078602A"/>
    <w:rsid w:val="007860F9"/>
    <w:rsid w:val="00786E66"/>
    <w:rsid w:val="00791181"/>
    <w:rsid w:val="00791352"/>
    <w:rsid w:val="00791597"/>
    <w:rsid w:val="00791693"/>
    <w:rsid w:val="007A723E"/>
    <w:rsid w:val="007B0E4F"/>
    <w:rsid w:val="007B1F25"/>
    <w:rsid w:val="007B2CD3"/>
    <w:rsid w:val="007B2D72"/>
    <w:rsid w:val="007B2E9F"/>
    <w:rsid w:val="007B40A9"/>
    <w:rsid w:val="007B532B"/>
    <w:rsid w:val="007B54D9"/>
    <w:rsid w:val="007B55E9"/>
    <w:rsid w:val="007B68B1"/>
    <w:rsid w:val="007B6B88"/>
    <w:rsid w:val="007C024D"/>
    <w:rsid w:val="007C06B4"/>
    <w:rsid w:val="007C136B"/>
    <w:rsid w:val="007C6033"/>
    <w:rsid w:val="007C610E"/>
    <w:rsid w:val="007C7639"/>
    <w:rsid w:val="007D02A3"/>
    <w:rsid w:val="007D0F9C"/>
    <w:rsid w:val="007D12E6"/>
    <w:rsid w:val="007D5710"/>
    <w:rsid w:val="007D5A92"/>
    <w:rsid w:val="007D7B79"/>
    <w:rsid w:val="007E0CEA"/>
    <w:rsid w:val="007E106C"/>
    <w:rsid w:val="007E3046"/>
    <w:rsid w:val="007E6972"/>
    <w:rsid w:val="007E791F"/>
    <w:rsid w:val="007F0E1E"/>
    <w:rsid w:val="007F1890"/>
    <w:rsid w:val="007F47E9"/>
    <w:rsid w:val="007F5E10"/>
    <w:rsid w:val="007F62EA"/>
    <w:rsid w:val="007F7C35"/>
    <w:rsid w:val="007F7C99"/>
    <w:rsid w:val="008004A9"/>
    <w:rsid w:val="0080168B"/>
    <w:rsid w:val="0080184F"/>
    <w:rsid w:val="00801F03"/>
    <w:rsid w:val="00803723"/>
    <w:rsid w:val="008041B2"/>
    <w:rsid w:val="008056C8"/>
    <w:rsid w:val="00806C5F"/>
    <w:rsid w:val="00807BBB"/>
    <w:rsid w:val="00807D4E"/>
    <w:rsid w:val="0081359C"/>
    <w:rsid w:val="00814B66"/>
    <w:rsid w:val="00816505"/>
    <w:rsid w:val="00820C50"/>
    <w:rsid w:val="00820C8C"/>
    <w:rsid w:val="008215E2"/>
    <w:rsid w:val="00822512"/>
    <w:rsid w:val="00823592"/>
    <w:rsid w:val="0082404F"/>
    <w:rsid w:val="0082598F"/>
    <w:rsid w:val="0082795C"/>
    <w:rsid w:val="008357E1"/>
    <w:rsid w:val="008358C3"/>
    <w:rsid w:val="00836673"/>
    <w:rsid w:val="00836F63"/>
    <w:rsid w:val="00840386"/>
    <w:rsid w:val="00840A18"/>
    <w:rsid w:val="00841445"/>
    <w:rsid w:val="008419F9"/>
    <w:rsid w:val="00841B85"/>
    <w:rsid w:val="00843E19"/>
    <w:rsid w:val="00844059"/>
    <w:rsid w:val="00844166"/>
    <w:rsid w:val="008448CC"/>
    <w:rsid w:val="008458F7"/>
    <w:rsid w:val="0084674D"/>
    <w:rsid w:val="00847492"/>
    <w:rsid w:val="00850BE7"/>
    <w:rsid w:val="00853968"/>
    <w:rsid w:val="008553A6"/>
    <w:rsid w:val="00857171"/>
    <w:rsid w:val="0085736A"/>
    <w:rsid w:val="00857B52"/>
    <w:rsid w:val="00860512"/>
    <w:rsid w:val="00860A90"/>
    <w:rsid w:val="00861D60"/>
    <w:rsid w:val="0086225D"/>
    <w:rsid w:val="00862B4D"/>
    <w:rsid w:val="0086416E"/>
    <w:rsid w:val="00864E84"/>
    <w:rsid w:val="00865425"/>
    <w:rsid w:val="0086720F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77C4E"/>
    <w:rsid w:val="00883C72"/>
    <w:rsid w:val="00885164"/>
    <w:rsid w:val="00887E30"/>
    <w:rsid w:val="00890EB9"/>
    <w:rsid w:val="00890FCC"/>
    <w:rsid w:val="00894A86"/>
    <w:rsid w:val="00895A68"/>
    <w:rsid w:val="00897C56"/>
    <w:rsid w:val="008A0232"/>
    <w:rsid w:val="008A0C8A"/>
    <w:rsid w:val="008A5E57"/>
    <w:rsid w:val="008A618D"/>
    <w:rsid w:val="008A69F1"/>
    <w:rsid w:val="008B0F4D"/>
    <w:rsid w:val="008B382D"/>
    <w:rsid w:val="008C0413"/>
    <w:rsid w:val="008C163F"/>
    <w:rsid w:val="008C2A5D"/>
    <w:rsid w:val="008C3442"/>
    <w:rsid w:val="008C60E9"/>
    <w:rsid w:val="008C61EE"/>
    <w:rsid w:val="008D170D"/>
    <w:rsid w:val="008D3F4C"/>
    <w:rsid w:val="008D455D"/>
    <w:rsid w:val="008D5FA7"/>
    <w:rsid w:val="008D6D8B"/>
    <w:rsid w:val="008D77BB"/>
    <w:rsid w:val="008E08F7"/>
    <w:rsid w:val="008E177D"/>
    <w:rsid w:val="008E1BCA"/>
    <w:rsid w:val="008E43EC"/>
    <w:rsid w:val="008E45FE"/>
    <w:rsid w:val="008E5342"/>
    <w:rsid w:val="008E5F9B"/>
    <w:rsid w:val="008E6B58"/>
    <w:rsid w:val="008E6CD8"/>
    <w:rsid w:val="008E6DBE"/>
    <w:rsid w:val="008E7EE0"/>
    <w:rsid w:val="008F0773"/>
    <w:rsid w:val="008F12A7"/>
    <w:rsid w:val="008F15B0"/>
    <w:rsid w:val="008F2A8C"/>
    <w:rsid w:val="008F3200"/>
    <w:rsid w:val="008F6EED"/>
    <w:rsid w:val="008F7610"/>
    <w:rsid w:val="00900F9B"/>
    <w:rsid w:val="00901327"/>
    <w:rsid w:val="00902935"/>
    <w:rsid w:val="00903038"/>
    <w:rsid w:val="00903064"/>
    <w:rsid w:val="0090374A"/>
    <w:rsid w:val="00904188"/>
    <w:rsid w:val="00904537"/>
    <w:rsid w:val="0090483A"/>
    <w:rsid w:val="0090553F"/>
    <w:rsid w:val="009064EB"/>
    <w:rsid w:val="00910108"/>
    <w:rsid w:val="00911DBA"/>
    <w:rsid w:val="00912FD0"/>
    <w:rsid w:val="009131D2"/>
    <w:rsid w:val="009140D0"/>
    <w:rsid w:val="00917279"/>
    <w:rsid w:val="00917AFE"/>
    <w:rsid w:val="009241CD"/>
    <w:rsid w:val="0092780E"/>
    <w:rsid w:val="00930751"/>
    <w:rsid w:val="0093302B"/>
    <w:rsid w:val="00934F9C"/>
    <w:rsid w:val="00936088"/>
    <w:rsid w:val="009367DB"/>
    <w:rsid w:val="0093767B"/>
    <w:rsid w:val="00937794"/>
    <w:rsid w:val="009414F1"/>
    <w:rsid w:val="00945A15"/>
    <w:rsid w:val="0094697D"/>
    <w:rsid w:val="00947318"/>
    <w:rsid w:val="00950F0C"/>
    <w:rsid w:val="0095102F"/>
    <w:rsid w:val="0095190C"/>
    <w:rsid w:val="0095462C"/>
    <w:rsid w:val="00954DF6"/>
    <w:rsid w:val="00955C2B"/>
    <w:rsid w:val="00955E63"/>
    <w:rsid w:val="00963A6D"/>
    <w:rsid w:val="00966610"/>
    <w:rsid w:val="0097077E"/>
    <w:rsid w:val="009710FF"/>
    <w:rsid w:val="00971B09"/>
    <w:rsid w:val="00972BAE"/>
    <w:rsid w:val="0097312F"/>
    <w:rsid w:val="00974CD3"/>
    <w:rsid w:val="00975596"/>
    <w:rsid w:val="009830AD"/>
    <w:rsid w:val="00983910"/>
    <w:rsid w:val="009849B6"/>
    <w:rsid w:val="009853B6"/>
    <w:rsid w:val="009873A2"/>
    <w:rsid w:val="00987779"/>
    <w:rsid w:val="009935B1"/>
    <w:rsid w:val="00994314"/>
    <w:rsid w:val="0099451D"/>
    <w:rsid w:val="009A019A"/>
    <w:rsid w:val="009A07BB"/>
    <w:rsid w:val="009A1174"/>
    <w:rsid w:val="009A1620"/>
    <w:rsid w:val="009A2DBD"/>
    <w:rsid w:val="009A4147"/>
    <w:rsid w:val="009A4FBA"/>
    <w:rsid w:val="009A5E57"/>
    <w:rsid w:val="009A665C"/>
    <w:rsid w:val="009B034E"/>
    <w:rsid w:val="009B03DE"/>
    <w:rsid w:val="009B4137"/>
    <w:rsid w:val="009B43BB"/>
    <w:rsid w:val="009B46EA"/>
    <w:rsid w:val="009B710B"/>
    <w:rsid w:val="009B7B37"/>
    <w:rsid w:val="009C0495"/>
    <w:rsid w:val="009C0727"/>
    <w:rsid w:val="009C5587"/>
    <w:rsid w:val="009C5A3F"/>
    <w:rsid w:val="009C7A70"/>
    <w:rsid w:val="009D14BC"/>
    <w:rsid w:val="009D30A1"/>
    <w:rsid w:val="009D3818"/>
    <w:rsid w:val="009D63E2"/>
    <w:rsid w:val="009D66BA"/>
    <w:rsid w:val="009D70D7"/>
    <w:rsid w:val="009E0EA6"/>
    <w:rsid w:val="009E1E8A"/>
    <w:rsid w:val="009E449B"/>
    <w:rsid w:val="009E4AD4"/>
    <w:rsid w:val="009E651C"/>
    <w:rsid w:val="009E7DBD"/>
    <w:rsid w:val="009F02A9"/>
    <w:rsid w:val="009F04C2"/>
    <w:rsid w:val="009F152E"/>
    <w:rsid w:val="009F1C56"/>
    <w:rsid w:val="009F3D03"/>
    <w:rsid w:val="009F4900"/>
    <w:rsid w:val="009F4E87"/>
    <w:rsid w:val="009F71C4"/>
    <w:rsid w:val="00A0110C"/>
    <w:rsid w:val="00A03435"/>
    <w:rsid w:val="00A03BCF"/>
    <w:rsid w:val="00A1185D"/>
    <w:rsid w:val="00A12436"/>
    <w:rsid w:val="00A13286"/>
    <w:rsid w:val="00A1405E"/>
    <w:rsid w:val="00A157D0"/>
    <w:rsid w:val="00A15E51"/>
    <w:rsid w:val="00A16F53"/>
    <w:rsid w:val="00A25815"/>
    <w:rsid w:val="00A275EF"/>
    <w:rsid w:val="00A2789E"/>
    <w:rsid w:val="00A3036D"/>
    <w:rsid w:val="00A31BCD"/>
    <w:rsid w:val="00A32693"/>
    <w:rsid w:val="00A35C04"/>
    <w:rsid w:val="00A361FE"/>
    <w:rsid w:val="00A4100C"/>
    <w:rsid w:val="00A41F00"/>
    <w:rsid w:val="00A41FD3"/>
    <w:rsid w:val="00A4320B"/>
    <w:rsid w:val="00A4354B"/>
    <w:rsid w:val="00A5255F"/>
    <w:rsid w:val="00A5364F"/>
    <w:rsid w:val="00A546BB"/>
    <w:rsid w:val="00A550FF"/>
    <w:rsid w:val="00A566E3"/>
    <w:rsid w:val="00A56E39"/>
    <w:rsid w:val="00A64E33"/>
    <w:rsid w:val="00A64E87"/>
    <w:rsid w:val="00A6590A"/>
    <w:rsid w:val="00A6636A"/>
    <w:rsid w:val="00A66CB6"/>
    <w:rsid w:val="00A7008F"/>
    <w:rsid w:val="00A701AF"/>
    <w:rsid w:val="00A701CF"/>
    <w:rsid w:val="00A70460"/>
    <w:rsid w:val="00A74046"/>
    <w:rsid w:val="00A74C22"/>
    <w:rsid w:val="00A756C4"/>
    <w:rsid w:val="00A80E5A"/>
    <w:rsid w:val="00A8132F"/>
    <w:rsid w:val="00A814D0"/>
    <w:rsid w:val="00A81B15"/>
    <w:rsid w:val="00A829DD"/>
    <w:rsid w:val="00A8405D"/>
    <w:rsid w:val="00A85DBC"/>
    <w:rsid w:val="00A86D58"/>
    <w:rsid w:val="00A86F9E"/>
    <w:rsid w:val="00A911E9"/>
    <w:rsid w:val="00A9250F"/>
    <w:rsid w:val="00A92763"/>
    <w:rsid w:val="00A93808"/>
    <w:rsid w:val="00A93C1A"/>
    <w:rsid w:val="00A94A47"/>
    <w:rsid w:val="00AA127E"/>
    <w:rsid w:val="00AA4F2D"/>
    <w:rsid w:val="00AA596D"/>
    <w:rsid w:val="00AA63BB"/>
    <w:rsid w:val="00AA7A65"/>
    <w:rsid w:val="00AB297C"/>
    <w:rsid w:val="00AB6E69"/>
    <w:rsid w:val="00AB71FD"/>
    <w:rsid w:val="00AB7939"/>
    <w:rsid w:val="00AC0B1D"/>
    <w:rsid w:val="00AC1DE0"/>
    <w:rsid w:val="00AC3888"/>
    <w:rsid w:val="00AC5074"/>
    <w:rsid w:val="00AC66AC"/>
    <w:rsid w:val="00AC70B9"/>
    <w:rsid w:val="00AD2964"/>
    <w:rsid w:val="00AD6E87"/>
    <w:rsid w:val="00AD7469"/>
    <w:rsid w:val="00AE2ADB"/>
    <w:rsid w:val="00AE3123"/>
    <w:rsid w:val="00AE5070"/>
    <w:rsid w:val="00AE5297"/>
    <w:rsid w:val="00AE578C"/>
    <w:rsid w:val="00AE5981"/>
    <w:rsid w:val="00AE72FE"/>
    <w:rsid w:val="00AE78E1"/>
    <w:rsid w:val="00AF15BD"/>
    <w:rsid w:val="00AF2EAD"/>
    <w:rsid w:val="00AF4FA4"/>
    <w:rsid w:val="00AF5046"/>
    <w:rsid w:val="00AF574E"/>
    <w:rsid w:val="00AF6E62"/>
    <w:rsid w:val="00AF7262"/>
    <w:rsid w:val="00B00D97"/>
    <w:rsid w:val="00B06B6F"/>
    <w:rsid w:val="00B06E40"/>
    <w:rsid w:val="00B073B3"/>
    <w:rsid w:val="00B07FAB"/>
    <w:rsid w:val="00B113F4"/>
    <w:rsid w:val="00B1773B"/>
    <w:rsid w:val="00B177E5"/>
    <w:rsid w:val="00B17DAA"/>
    <w:rsid w:val="00B20319"/>
    <w:rsid w:val="00B20E7E"/>
    <w:rsid w:val="00B21FA9"/>
    <w:rsid w:val="00B23CBD"/>
    <w:rsid w:val="00B253A6"/>
    <w:rsid w:val="00B256FD"/>
    <w:rsid w:val="00B26901"/>
    <w:rsid w:val="00B27F9F"/>
    <w:rsid w:val="00B300C3"/>
    <w:rsid w:val="00B3269E"/>
    <w:rsid w:val="00B33106"/>
    <w:rsid w:val="00B34765"/>
    <w:rsid w:val="00B3487D"/>
    <w:rsid w:val="00B34E41"/>
    <w:rsid w:val="00B363DD"/>
    <w:rsid w:val="00B36628"/>
    <w:rsid w:val="00B379D8"/>
    <w:rsid w:val="00B41AF8"/>
    <w:rsid w:val="00B422C8"/>
    <w:rsid w:val="00B42727"/>
    <w:rsid w:val="00B42F15"/>
    <w:rsid w:val="00B4662F"/>
    <w:rsid w:val="00B46AF0"/>
    <w:rsid w:val="00B50BAA"/>
    <w:rsid w:val="00B51542"/>
    <w:rsid w:val="00B531C5"/>
    <w:rsid w:val="00B54550"/>
    <w:rsid w:val="00B604D4"/>
    <w:rsid w:val="00B609D8"/>
    <w:rsid w:val="00B61C74"/>
    <w:rsid w:val="00B62CD7"/>
    <w:rsid w:val="00B639B5"/>
    <w:rsid w:val="00B6460F"/>
    <w:rsid w:val="00B64E5F"/>
    <w:rsid w:val="00B65B4D"/>
    <w:rsid w:val="00B664FC"/>
    <w:rsid w:val="00B66CF3"/>
    <w:rsid w:val="00B67E76"/>
    <w:rsid w:val="00B702F7"/>
    <w:rsid w:val="00B75BCF"/>
    <w:rsid w:val="00B76818"/>
    <w:rsid w:val="00B80374"/>
    <w:rsid w:val="00B809A2"/>
    <w:rsid w:val="00B80F90"/>
    <w:rsid w:val="00B8139B"/>
    <w:rsid w:val="00B82065"/>
    <w:rsid w:val="00B82EDE"/>
    <w:rsid w:val="00B8446C"/>
    <w:rsid w:val="00B85AAD"/>
    <w:rsid w:val="00B85EF6"/>
    <w:rsid w:val="00B878A8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2420"/>
    <w:rsid w:val="00BA34AB"/>
    <w:rsid w:val="00BA39EF"/>
    <w:rsid w:val="00BA41ED"/>
    <w:rsid w:val="00BA6C82"/>
    <w:rsid w:val="00BB142C"/>
    <w:rsid w:val="00BB3DBB"/>
    <w:rsid w:val="00BB5041"/>
    <w:rsid w:val="00BB6469"/>
    <w:rsid w:val="00BB772A"/>
    <w:rsid w:val="00BC0F87"/>
    <w:rsid w:val="00BC14FA"/>
    <w:rsid w:val="00BC2AC3"/>
    <w:rsid w:val="00BC6CA4"/>
    <w:rsid w:val="00BC7C82"/>
    <w:rsid w:val="00BD2DC3"/>
    <w:rsid w:val="00BD5873"/>
    <w:rsid w:val="00BD6500"/>
    <w:rsid w:val="00BD6697"/>
    <w:rsid w:val="00BD67BA"/>
    <w:rsid w:val="00BD6F7A"/>
    <w:rsid w:val="00BD78A8"/>
    <w:rsid w:val="00BD791E"/>
    <w:rsid w:val="00BE1360"/>
    <w:rsid w:val="00BE2152"/>
    <w:rsid w:val="00BE2338"/>
    <w:rsid w:val="00BE3E91"/>
    <w:rsid w:val="00BE42B7"/>
    <w:rsid w:val="00BE69A3"/>
    <w:rsid w:val="00BE7DB4"/>
    <w:rsid w:val="00BF0158"/>
    <w:rsid w:val="00BF092F"/>
    <w:rsid w:val="00BF1F30"/>
    <w:rsid w:val="00BF5D84"/>
    <w:rsid w:val="00BF61CA"/>
    <w:rsid w:val="00BF6F01"/>
    <w:rsid w:val="00C02377"/>
    <w:rsid w:val="00C02E33"/>
    <w:rsid w:val="00C062F2"/>
    <w:rsid w:val="00C06E1F"/>
    <w:rsid w:val="00C06FC1"/>
    <w:rsid w:val="00C120DC"/>
    <w:rsid w:val="00C12198"/>
    <w:rsid w:val="00C130F8"/>
    <w:rsid w:val="00C13326"/>
    <w:rsid w:val="00C15A6B"/>
    <w:rsid w:val="00C16577"/>
    <w:rsid w:val="00C20175"/>
    <w:rsid w:val="00C225A5"/>
    <w:rsid w:val="00C2366B"/>
    <w:rsid w:val="00C27716"/>
    <w:rsid w:val="00C30821"/>
    <w:rsid w:val="00C31006"/>
    <w:rsid w:val="00C32236"/>
    <w:rsid w:val="00C3230E"/>
    <w:rsid w:val="00C359F8"/>
    <w:rsid w:val="00C367EE"/>
    <w:rsid w:val="00C37CD2"/>
    <w:rsid w:val="00C41018"/>
    <w:rsid w:val="00C416E5"/>
    <w:rsid w:val="00C434AB"/>
    <w:rsid w:val="00C458C4"/>
    <w:rsid w:val="00C47FB1"/>
    <w:rsid w:val="00C52BDA"/>
    <w:rsid w:val="00C559F4"/>
    <w:rsid w:val="00C55A94"/>
    <w:rsid w:val="00C57D51"/>
    <w:rsid w:val="00C630F2"/>
    <w:rsid w:val="00C63EE9"/>
    <w:rsid w:val="00C66897"/>
    <w:rsid w:val="00C7254C"/>
    <w:rsid w:val="00C73AFE"/>
    <w:rsid w:val="00C773D8"/>
    <w:rsid w:val="00C80564"/>
    <w:rsid w:val="00C81936"/>
    <w:rsid w:val="00C81DF2"/>
    <w:rsid w:val="00C81E2C"/>
    <w:rsid w:val="00C81F3B"/>
    <w:rsid w:val="00C83C97"/>
    <w:rsid w:val="00C84722"/>
    <w:rsid w:val="00C8492D"/>
    <w:rsid w:val="00C8645B"/>
    <w:rsid w:val="00C91282"/>
    <w:rsid w:val="00C9199E"/>
    <w:rsid w:val="00C92E43"/>
    <w:rsid w:val="00C942F0"/>
    <w:rsid w:val="00C96BA3"/>
    <w:rsid w:val="00C973E3"/>
    <w:rsid w:val="00CA4F52"/>
    <w:rsid w:val="00CA5E21"/>
    <w:rsid w:val="00CB044C"/>
    <w:rsid w:val="00CB0504"/>
    <w:rsid w:val="00CB4372"/>
    <w:rsid w:val="00CB5A7C"/>
    <w:rsid w:val="00CC05FC"/>
    <w:rsid w:val="00CC34AB"/>
    <w:rsid w:val="00CC453E"/>
    <w:rsid w:val="00CC6210"/>
    <w:rsid w:val="00CD010B"/>
    <w:rsid w:val="00CD230D"/>
    <w:rsid w:val="00CD26E8"/>
    <w:rsid w:val="00CD2E36"/>
    <w:rsid w:val="00CD33AC"/>
    <w:rsid w:val="00CD3B26"/>
    <w:rsid w:val="00CD5D0C"/>
    <w:rsid w:val="00CD6646"/>
    <w:rsid w:val="00CE05F2"/>
    <w:rsid w:val="00CE09A3"/>
    <w:rsid w:val="00CE3C2C"/>
    <w:rsid w:val="00CE4360"/>
    <w:rsid w:val="00CE76B7"/>
    <w:rsid w:val="00CE7B9B"/>
    <w:rsid w:val="00CF3301"/>
    <w:rsid w:val="00CF35F4"/>
    <w:rsid w:val="00CF675E"/>
    <w:rsid w:val="00CF68F9"/>
    <w:rsid w:val="00CF74E1"/>
    <w:rsid w:val="00D0197A"/>
    <w:rsid w:val="00D03E9E"/>
    <w:rsid w:val="00D05D62"/>
    <w:rsid w:val="00D05D8B"/>
    <w:rsid w:val="00D07663"/>
    <w:rsid w:val="00D07AD9"/>
    <w:rsid w:val="00D10B52"/>
    <w:rsid w:val="00D11E51"/>
    <w:rsid w:val="00D174AE"/>
    <w:rsid w:val="00D21EC1"/>
    <w:rsid w:val="00D22853"/>
    <w:rsid w:val="00D22A76"/>
    <w:rsid w:val="00D23219"/>
    <w:rsid w:val="00D232A9"/>
    <w:rsid w:val="00D23A8C"/>
    <w:rsid w:val="00D24D0D"/>
    <w:rsid w:val="00D256E4"/>
    <w:rsid w:val="00D26DD0"/>
    <w:rsid w:val="00D31C83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20E4"/>
    <w:rsid w:val="00D52A8E"/>
    <w:rsid w:val="00D55E22"/>
    <w:rsid w:val="00D56192"/>
    <w:rsid w:val="00D56306"/>
    <w:rsid w:val="00D57124"/>
    <w:rsid w:val="00D57DFA"/>
    <w:rsid w:val="00D60F93"/>
    <w:rsid w:val="00D6197D"/>
    <w:rsid w:val="00D6258D"/>
    <w:rsid w:val="00D64952"/>
    <w:rsid w:val="00D6527F"/>
    <w:rsid w:val="00D658E3"/>
    <w:rsid w:val="00D6591E"/>
    <w:rsid w:val="00D66994"/>
    <w:rsid w:val="00D71C66"/>
    <w:rsid w:val="00D7200D"/>
    <w:rsid w:val="00D72624"/>
    <w:rsid w:val="00D73FD9"/>
    <w:rsid w:val="00D752BE"/>
    <w:rsid w:val="00D753AA"/>
    <w:rsid w:val="00D76922"/>
    <w:rsid w:val="00D775DC"/>
    <w:rsid w:val="00D80465"/>
    <w:rsid w:val="00D836CA"/>
    <w:rsid w:val="00D85C16"/>
    <w:rsid w:val="00D86FDF"/>
    <w:rsid w:val="00D86FF5"/>
    <w:rsid w:val="00D87FEA"/>
    <w:rsid w:val="00D907EF"/>
    <w:rsid w:val="00D91F56"/>
    <w:rsid w:val="00D91F85"/>
    <w:rsid w:val="00D928CD"/>
    <w:rsid w:val="00D935F9"/>
    <w:rsid w:val="00D938D4"/>
    <w:rsid w:val="00D9503D"/>
    <w:rsid w:val="00D95924"/>
    <w:rsid w:val="00D96227"/>
    <w:rsid w:val="00D979D7"/>
    <w:rsid w:val="00D97A63"/>
    <w:rsid w:val="00D97DA3"/>
    <w:rsid w:val="00DA1D01"/>
    <w:rsid w:val="00DA51CB"/>
    <w:rsid w:val="00DA6B4A"/>
    <w:rsid w:val="00DA7D98"/>
    <w:rsid w:val="00DB0F0F"/>
    <w:rsid w:val="00DB24A2"/>
    <w:rsid w:val="00DB44E1"/>
    <w:rsid w:val="00DB662D"/>
    <w:rsid w:val="00DC1A15"/>
    <w:rsid w:val="00DC1D7B"/>
    <w:rsid w:val="00DC3E7B"/>
    <w:rsid w:val="00DC71A1"/>
    <w:rsid w:val="00DC74A5"/>
    <w:rsid w:val="00DD0C2C"/>
    <w:rsid w:val="00DD0EA7"/>
    <w:rsid w:val="00DD1AA4"/>
    <w:rsid w:val="00DD230C"/>
    <w:rsid w:val="00DD2BD0"/>
    <w:rsid w:val="00DD5DC5"/>
    <w:rsid w:val="00DD69DC"/>
    <w:rsid w:val="00DD6C37"/>
    <w:rsid w:val="00DD78A4"/>
    <w:rsid w:val="00DE5CC0"/>
    <w:rsid w:val="00DE6765"/>
    <w:rsid w:val="00DE6E75"/>
    <w:rsid w:val="00DE7654"/>
    <w:rsid w:val="00DE7FD6"/>
    <w:rsid w:val="00DF1585"/>
    <w:rsid w:val="00DF58BB"/>
    <w:rsid w:val="00DF6696"/>
    <w:rsid w:val="00DF70BB"/>
    <w:rsid w:val="00DF75BF"/>
    <w:rsid w:val="00E037B3"/>
    <w:rsid w:val="00E04577"/>
    <w:rsid w:val="00E046ED"/>
    <w:rsid w:val="00E049F5"/>
    <w:rsid w:val="00E068DB"/>
    <w:rsid w:val="00E0696B"/>
    <w:rsid w:val="00E075E2"/>
    <w:rsid w:val="00E11E28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32650"/>
    <w:rsid w:val="00E345FB"/>
    <w:rsid w:val="00E34D20"/>
    <w:rsid w:val="00E35051"/>
    <w:rsid w:val="00E35097"/>
    <w:rsid w:val="00E45F4B"/>
    <w:rsid w:val="00E50C66"/>
    <w:rsid w:val="00E51485"/>
    <w:rsid w:val="00E55944"/>
    <w:rsid w:val="00E55ABC"/>
    <w:rsid w:val="00E55BDB"/>
    <w:rsid w:val="00E56162"/>
    <w:rsid w:val="00E56639"/>
    <w:rsid w:val="00E574D4"/>
    <w:rsid w:val="00E57B74"/>
    <w:rsid w:val="00E60501"/>
    <w:rsid w:val="00E61A44"/>
    <w:rsid w:val="00E638F7"/>
    <w:rsid w:val="00E65320"/>
    <w:rsid w:val="00E667B5"/>
    <w:rsid w:val="00E717A5"/>
    <w:rsid w:val="00E7357D"/>
    <w:rsid w:val="00E74D03"/>
    <w:rsid w:val="00E75102"/>
    <w:rsid w:val="00E75DE6"/>
    <w:rsid w:val="00E8030D"/>
    <w:rsid w:val="00E822BA"/>
    <w:rsid w:val="00E83583"/>
    <w:rsid w:val="00E841E5"/>
    <w:rsid w:val="00E8629F"/>
    <w:rsid w:val="00E870B6"/>
    <w:rsid w:val="00E87634"/>
    <w:rsid w:val="00E920D8"/>
    <w:rsid w:val="00E92846"/>
    <w:rsid w:val="00E93697"/>
    <w:rsid w:val="00E94A3B"/>
    <w:rsid w:val="00E95081"/>
    <w:rsid w:val="00EA166B"/>
    <w:rsid w:val="00EA1E1D"/>
    <w:rsid w:val="00EA2004"/>
    <w:rsid w:val="00EA2ABC"/>
    <w:rsid w:val="00EA3C24"/>
    <w:rsid w:val="00EA4465"/>
    <w:rsid w:val="00EA497A"/>
    <w:rsid w:val="00EA5997"/>
    <w:rsid w:val="00EA5E4B"/>
    <w:rsid w:val="00EB04FF"/>
    <w:rsid w:val="00EB0BD0"/>
    <w:rsid w:val="00EB1F08"/>
    <w:rsid w:val="00EB5B01"/>
    <w:rsid w:val="00EB733C"/>
    <w:rsid w:val="00EC14A9"/>
    <w:rsid w:val="00EC29BD"/>
    <w:rsid w:val="00EC565F"/>
    <w:rsid w:val="00EC6CF4"/>
    <w:rsid w:val="00ED066D"/>
    <w:rsid w:val="00ED42D8"/>
    <w:rsid w:val="00ED5501"/>
    <w:rsid w:val="00EE084A"/>
    <w:rsid w:val="00EE15C1"/>
    <w:rsid w:val="00EE2BDD"/>
    <w:rsid w:val="00EE3E05"/>
    <w:rsid w:val="00EE52FC"/>
    <w:rsid w:val="00EE56F6"/>
    <w:rsid w:val="00EE5B78"/>
    <w:rsid w:val="00EE78ED"/>
    <w:rsid w:val="00EF5DA7"/>
    <w:rsid w:val="00EF69DC"/>
    <w:rsid w:val="00F001FA"/>
    <w:rsid w:val="00F0252D"/>
    <w:rsid w:val="00F02B54"/>
    <w:rsid w:val="00F035EB"/>
    <w:rsid w:val="00F04044"/>
    <w:rsid w:val="00F05D0B"/>
    <w:rsid w:val="00F05F19"/>
    <w:rsid w:val="00F072D8"/>
    <w:rsid w:val="00F10302"/>
    <w:rsid w:val="00F10DF7"/>
    <w:rsid w:val="00F1130C"/>
    <w:rsid w:val="00F11FEF"/>
    <w:rsid w:val="00F129F3"/>
    <w:rsid w:val="00F1477C"/>
    <w:rsid w:val="00F14DCA"/>
    <w:rsid w:val="00F15877"/>
    <w:rsid w:val="00F15AA5"/>
    <w:rsid w:val="00F167EF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87F"/>
    <w:rsid w:val="00F25B8E"/>
    <w:rsid w:val="00F3057B"/>
    <w:rsid w:val="00F3253C"/>
    <w:rsid w:val="00F3423B"/>
    <w:rsid w:val="00F34324"/>
    <w:rsid w:val="00F35B54"/>
    <w:rsid w:val="00F369D3"/>
    <w:rsid w:val="00F4069C"/>
    <w:rsid w:val="00F415BB"/>
    <w:rsid w:val="00F45267"/>
    <w:rsid w:val="00F455FA"/>
    <w:rsid w:val="00F47598"/>
    <w:rsid w:val="00F50005"/>
    <w:rsid w:val="00F50634"/>
    <w:rsid w:val="00F50643"/>
    <w:rsid w:val="00F5165E"/>
    <w:rsid w:val="00F53BEB"/>
    <w:rsid w:val="00F5629A"/>
    <w:rsid w:val="00F57369"/>
    <w:rsid w:val="00F60EF8"/>
    <w:rsid w:val="00F61215"/>
    <w:rsid w:val="00F63976"/>
    <w:rsid w:val="00F63F64"/>
    <w:rsid w:val="00F641AE"/>
    <w:rsid w:val="00F64AFB"/>
    <w:rsid w:val="00F64B3E"/>
    <w:rsid w:val="00F65259"/>
    <w:rsid w:val="00F6634D"/>
    <w:rsid w:val="00F7224D"/>
    <w:rsid w:val="00F741DB"/>
    <w:rsid w:val="00F744BB"/>
    <w:rsid w:val="00F75696"/>
    <w:rsid w:val="00F75899"/>
    <w:rsid w:val="00F75A4F"/>
    <w:rsid w:val="00F76B9A"/>
    <w:rsid w:val="00F7729E"/>
    <w:rsid w:val="00F778EA"/>
    <w:rsid w:val="00F77FE8"/>
    <w:rsid w:val="00F805AE"/>
    <w:rsid w:val="00F80B51"/>
    <w:rsid w:val="00F80E68"/>
    <w:rsid w:val="00F81DBA"/>
    <w:rsid w:val="00F8381E"/>
    <w:rsid w:val="00F838F2"/>
    <w:rsid w:val="00F84364"/>
    <w:rsid w:val="00F84BEB"/>
    <w:rsid w:val="00F87C10"/>
    <w:rsid w:val="00F902C3"/>
    <w:rsid w:val="00F90D35"/>
    <w:rsid w:val="00F9137A"/>
    <w:rsid w:val="00F9264C"/>
    <w:rsid w:val="00F92E89"/>
    <w:rsid w:val="00F94466"/>
    <w:rsid w:val="00F95BC3"/>
    <w:rsid w:val="00F9767B"/>
    <w:rsid w:val="00F9790A"/>
    <w:rsid w:val="00F97B5F"/>
    <w:rsid w:val="00F97D2C"/>
    <w:rsid w:val="00FA0544"/>
    <w:rsid w:val="00FA149C"/>
    <w:rsid w:val="00FA1E72"/>
    <w:rsid w:val="00FA2E4F"/>
    <w:rsid w:val="00FA3174"/>
    <w:rsid w:val="00FA3792"/>
    <w:rsid w:val="00FA5C95"/>
    <w:rsid w:val="00FB0BD9"/>
    <w:rsid w:val="00FB2299"/>
    <w:rsid w:val="00FB273E"/>
    <w:rsid w:val="00FB280A"/>
    <w:rsid w:val="00FB324F"/>
    <w:rsid w:val="00FB42DC"/>
    <w:rsid w:val="00FB50AF"/>
    <w:rsid w:val="00FB545C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45BD"/>
    <w:rsid w:val="00FD4A7E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380C"/>
    <w:rsid w:val="00FF4498"/>
    <w:rsid w:val="00FF4FA4"/>
    <w:rsid w:val="00FF563D"/>
    <w:rsid w:val="00FF575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clear" w:pos="4403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89A6988-C4BF-4DDB-AFB9-42748BCF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2018-08-10T15:34:00Z</dcterms:created>
  <dcterms:modified xsi:type="dcterms:W3CDTF">2018-08-11T01:45:00Z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